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189 AO 1977 — Änderung der Zerlegung</w:t>
      </w:r>
    </w:p>
    <w:p>
      <w:r>
        <w:rPr>
          <w:color w:val="555555"/>
          <w:sz w:val="18"/>
        </w:rPr>
        <w:t xml:space="preserve">Abgabenordnung</w:t>
      </w:r>
    </w:p>
    <w:p>
      <w:r>
        <w:rPr>
          <w:color w:val="555555"/>
          <w:sz w:val="18"/>
        </w:rPr>
        <w:t xml:space="preserve">Stand: 13.04.2025 (konsolidierte Textfassung, kein amtliches Inkrafttretensdatum)</w:t>
      </w:r>
    </w:p>
    <w:p>
      <w:r>
        <w:t xml:space="preserve">Ist der Anspruch eines Steuerberechtigten auf einen Anteil am Steuermessbetrag nicht berücksichtigt und auch nicht zurückgewiesen worden, so wird die Zerlegung von Amts wegen oder auf Antrag geändert oder nachgeholt. Ist der bisherige Zerlegungsbescheid gegenüber denjenigen Steuerberechtigten, die an dem Zerlegungsverfahren bereits beteiligt waren, unanfechtbar geworden, so dürfen bei der Änderung der Zerlegung nur solche Änderungen vorgenommen werden, die sich aus der nachträglichen Berücksichtigung der bisher übergangenen Steuerberechtigten ergeben. Eine Änderung oder Nachholung der Zerlegung unterbleibt, wenn ein Jahr vergangen ist, seitdem der Steuermessbescheid unanfechtbar geworden ist, es sei denn, dass der übergangene Steuerberechtigte die Änderung oder Nachholung der Zerlegung vor Ablauf des Jahres beantragt hatte.</w:t>
      </w:r>
    </w:p>
    <w:p>
      <w:r>
        <w:rPr>
          <w:color w:val="555555"/>
          <w:sz w:val="17"/>
        </w:rPr>
        <w:t xml:space="preserve">Zitiervorschlag: § 189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https://recht.nulegal.eu/gesetze/AO%201977/189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