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188 AO 1977 — Zerlegungsbescheid</w:t>
      </w:r>
    </w:p>
    <w:p>
      <w:r>
        <w:rPr>
          <w:color w:val="555555"/>
          <w:sz w:val="18"/>
        </w:rPr>
        <w:t xml:space="preserve">Abgabenordnung</w:t>
      </w:r>
    </w:p>
    <w:p>
      <w:r>
        <w:rPr>
          <w:color w:val="555555"/>
          <w:sz w:val="18"/>
        </w:rPr>
        <w:t xml:space="preserve">Stand: 13.04.2025 (konsolidierte Textfassung, kein amtliches Inkrafttretensdatum)</w:t>
      </w:r>
    </w:p>
    <w:p>
      <w:r>
        <w:t xml:space="preserve">(1) Über die Zerlegung ergeht ein schriftlicher oder elektronischer Bescheid (Zerlegungsbescheid), der den Beteiligten bekannt zu geben ist, soweit sie betroffen sind. Die Bekanntgabe an Gemeinden erfolgt durch Bereitstellung zum Abruf nach § 122a; eine Einwilligung der Gemeinde ist nicht erforderlich.</w:t>
      </w:r>
    </w:p>
    <w:p>
      <w:r>
        <w:t xml:space="preserve">(2) Der Zerlegungsbescheid muss die Höhe des zu zerlegenden Steuermessbetrags angeben und bestimmen, welche Anteile den beteiligten Steuerberechtigten zugeteilt werden. Er muss ferner die Zerlegungsgrundlagen angeben.</w:t>
      </w:r>
    </w:p>
    <w:p>
      <w:r>
        <w:rPr>
          <w:color w:val="555555"/>
          <w:sz w:val="17"/>
        </w:rPr>
        <w:t xml:space="preserve">Zitiervorschlag: § 188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https://recht.nulegal.eu/gesetze/AO%201977/188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188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