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187 AO 1977 — Akteneinsicht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beteiligten Steuerberechtigten können von der zuständigen Finanzbehörde Auskunft über die Zerlegungsgrundlagen verlangen und durch ihre Amtsträger Einsicht in die Zerlegungsunterlagen nehmen.</w:t>
      </w:r>
    </w:p>
    <w:p>
      <w:r>
        <w:rPr>
          <w:color w:val="555555"/>
          <w:sz w:val="17"/>
        </w:rPr>
        <w:t xml:space="preserve">Zitiervorschlag: § 187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