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 AO 1977 — Festsetzung von Steuermessbeträgen</w:t>
      </w:r>
    </w:p>
    <w:p>
      <w:r>
        <w:rPr>
          <w:color w:val="555555"/>
          <w:sz w:val="18"/>
        </w:rPr>
        <w:t xml:space="preserve">Abgabenordnung</w:t>
      </w:r>
    </w:p>
    <w:p>
      <w:r>
        <w:rPr>
          <w:color w:val="555555"/>
          <w:sz w:val="18"/>
        </w:rPr>
        <w:t xml:space="preserve">Stand: 13.04.2025 (konsolidierte Textfassung, kein amtliches Inkrafttretensdatum)</w:t>
      </w:r>
    </w:p>
    <w:p>
      <w:r>
        <w:t xml:space="preserve">(1) Steuermessbeträge, die nach den Steuergesetzen zu ermitteln sind, werden durch Steuermessbescheid festgesetzt. Mit der Festsetzung der Steuermessbeträge wird auch über die persönliche und sachliche Steuerpflicht entschieden. Die Vorschriften über die Durchführung der Besteuerung sind sinngemäß anzuwenden. Ferner sind § 182 Absatz 1 und für Grundsteuermessbescheide auch Absatz 2 und § 183 sinngemäß anzuwenden.</w:t>
      </w:r>
    </w:p>
    <w:p>
      <w:r>
        <w:t xml:space="preserve">(2) Die Befugnis, Realsteuermessbeträge festzusetzen, schließt auch die Befugnis zu Maßnahmen nach § 163 Absatz 1 Satz 1 ein, soweit für solche Maßnahmen in einer allgemeinen Verwaltungsvorschrift der Bundesregierung, der obersten Bundesfinanzbehörde oder einer obersten Landesfinanzbehörde Richtlinien aufgestellt worden sind. Eine Maßnahme nach § 163 Absatz 1 Satz 2 wirkt, soweit sie die gewerblichen Einkünfte als Grundlage für die Festsetzung der Steuer vom Einkommen beeinflusst, auch für den Gewerbeertrag als Grundlage für die Festsetzung des Gewerbesteuermessbetrags.</w:t>
      </w:r>
    </w:p>
    <w:p>
      <w:r>
        <w:t xml:space="preserve">(3) Die Finanzbehörden teilen den Inhalt des Steuermessbescheids sowie die nach Absatz 2 getroffenen Maßnahmen den Gemeinden mit, denen die Steuerfestsetzung (der Erlass des Realsteuerbescheids) obliegt. Die Mitteilungen an die Gemeinden erfolgen durch Bereitstellung zum Abruf; § 87a Absatz 8 und § 87b Absatz 1 gelten dabei entsprechend.</w:t>
      </w:r>
    </w:p>
    <w:p>
      <w:r>
        <w:rPr>
          <w:color w:val="555555"/>
          <w:sz w:val="17"/>
        </w:rPr>
        <w:t xml:space="preserve">Zitiervorschlag: § 184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