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183 AO 1977 — Bekanntgabe bei der gesonderten und einheitlichen Feststellung gegenüber rechtsfähigen Personenvereinigungen</w:t>
      </w:r>
    </w:p>
    <w:p>
      <w:r>
        <w:rPr>
          <w:color w:val="555555"/>
          <w:sz w:val="18"/>
        </w:rPr>
        <w:t xml:space="preserve">Abgabenordnung</w:t>
      </w:r>
    </w:p>
    <w:p>
      <w:r>
        <w:rPr>
          <w:color w:val="555555"/>
          <w:sz w:val="18"/>
        </w:rPr>
        <w:t xml:space="preserve">Stand: 13.04.2025 (konsolidierte Textfassung, kein amtliches Inkrafttretensdatum)</w:t>
      </w:r>
    </w:p>
    <w:p>
      <w:r>
        <w:t xml:space="preserve">(1) Sind mehrere Personen am Gegenstand der gesonderten und einheitlichen Feststellung als Gesellschafter oder Gemeinschafter beteiligt (Feststellungsbeteiligte) und bilden sie eine rechtsfähige Personenvereinigung, sind alle Verwaltungsakte und Mitteilungen, die nach diesem Gesetz und den Steuergesetzen mit der gesonderten und einheitlichen Feststellung zusammenhängen, der Personenvereinigung in Vertretung der Feststellungsbeteiligten bekannt zu geben. Bei der Bekanntgabe ist darauf hinzuweisen, dass die Bekanntgabe mit Wirkung für und gegen alle Feststellungsbeteiligten erfolgt.</w:t>
      </w:r>
    </w:p>
    <w:p>
      <w:r>
        <w:t xml:space="preserve">(2) Absatz 1 ist nicht anzuwenden,</w:t>
      </w:r>
    </w:p>
    <w:p>
      <w:pPr>
        <w:ind w:left="420"/>
      </w:pPr>
      <w:r>
        <w:t xml:space="preserve">1. wenn die Personenvereinigung vollbeendet ist oder der Finanzbehörde bekannt ist, dass die Personenvereinigung nicht mehr rechtsfähig ist, oder</w:t>
      </w:r>
    </w:p>
    <w:p>
      <w:pPr>
        <w:ind w:left="420"/>
      </w:pPr>
      <w:r>
        <w:t xml:space="preserve">2. soweit ein Feststellungsbeteiligter aus der Personenvereinigung ausgeschieden ist oder zwischen den Feststellungsbeteiligten ernstliche Meinungsverschiedenheiten bestehen.</w:t>
      </w:r>
    </w:p>
    <w:p>
      <w:r>
        <w:t xml:space="preserve">In den Fällen von Satz 1 Nummer 2 können die in Absatz 1 Satz 1 genannten Verwaltungsakte und Mitteilungen der Personenvereinigung auch mit Wirkung für und gegen einen in Satz 1 Nummer 2 genannten Feststellungsbeteiligten bekannt gegeben werden, soweit und solange dieser Feststellungsbeteiligte dem nicht widersprochen hat. Ein Widerspruch nach Satz 2 wird der Finanzbehörde gegenüber erst wirksam, wenn er ihr zugeht.</w:t>
      </w:r>
    </w:p>
    <w:p>
      <w:r>
        <w:t xml:space="preserve">(3) Ist nach Absatz 2 Satz 1 Einzelbekanntgabe erforderlich, so sind dem Feststellungsbeteiligten</w:t>
      </w:r>
    </w:p>
    <w:p>
      <w:pPr>
        <w:ind w:left="420"/>
      </w:pPr>
      <w:r>
        <w:t xml:space="preserve">1. der Gegenstand der gesonderten und einheitlichen Feststellung,</w:t>
      </w:r>
    </w:p>
    <w:p>
      <w:pPr>
        <w:ind w:left="420"/>
      </w:pPr>
      <w:r>
        <w:t xml:space="preserve">2. die alle Feststellungsbeteiligten betreffenden Besteuerungsgrundlagen,</w:t>
      </w:r>
    </w:p>
    <w:p>
      <w:pPr>
        <w:ind w:left="420"/>
      </w:pPr>
      <w:r>
        <w:t xml:space="preserve">3. sein Anteil,</w:t>
      </w:r>
    </w:p>
    <w:p>
      <w:pPr>
        <w:ind w:left="420"/>
      </w:pPr>
      <w:r>
        <w:t xml:space="preserve">4. die Zahl der Feststellungsbeteiligten und</w:t>
      </w:r>
    </w:p>
    <w:p>
      <w:pPr>
        <w:ind w:left="420"/>
      </w:pPr>
      <w:r>
        <w:t xml:space="preserve">5. die ihn persönlich betreffenden Besteuerungsgrundlagen</w:t>
      </w:r>
    </w:p>
    <w:p>
      <w:r>
        <w:t xml:space="preserve">bekannt zu geben. Bei berechtigtem Interesse ist dem Feststellungsbeteiligten der gesamte Inhalt des Feststellungsbescheids mitzuteilen.</w:t>
      </w:r>
    </w:p>
    <w:p>
      <w:r>
        <w:rPr>
          <w:color w:val="555555"/>
          <w:sz w:val="17"/>
        </w:rPr>
        <w:t xml:space="preserve">Zitiervorschlag: § 183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183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