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177 AO 1977 — Berichtigung von materiellen Fehlern</w:t>
      </w:r>
    </w:p>
    <w:p>
      <w:r>
        <w:rPr>
          <w:color w:val="555555"/>
          <w:sz w:val="18"/>
        </w:rPr>
        <w:t xml:space="preserve">Abgabenordnung</w:t>
      </w:r>
    </w:p>
    <w:p>
      <w:r>
        <w:rPr>
          <w:color w:val="555555"/>
          <w:sz w:val="18"/>
        </w:rPr>
        <w:t xml:space="preserve">Stand: 13.04.2025 (konsolidierte Textfassung, kein amtliches Inkrafttretensdatum)</w:t>
      </w:r>
    </w:p>
    <w:p>
      <w:r>
        <w:t xml:space="preserve">(1) Liegen die Voraussetzungen für die Aufhebung oder Änderung eines Steuerbescheids zuungunsten des Steuerpflichtigen vor, so sind, soweit die Änderung reicht, zugunsten und zuungunsten des Steuerpflichtigen solche materiellen Fehler zu berichtigen, die nicht Anlass der Aufhebung oder Änderung sind.</w:t>
      </w:r>
    </w:p>
    <w:p>
      <w:r>
        <w:t xml:space="preserve">(2) Liegen die Voraussetzungen für die Aufhebung oder Änderung eines Steuerbescheids zugunsten des Steuerpflichtigen vor, so sind, soweit die Änderung reicht, zuungunsten und zugunsten des Steuerpflichtigen solche materiellen Fehler zu berichtigen, die nicht Anlass der Aufhebung oder Änderung sind.</w:t>
      </w:r>
    </w:p>
    <w:p>
      <w:r>
        <w:t xml:space="preserve">(3) Materielle Fehler im Sinne der Absätze 1 und 2 sind alle Fehler einschließlich offenbarer Unrichtigkeiten im Sinne des § 129, die zur Festsetzung einer Steuer führen, die von der kraft Gesetzes entstandenen Steuer abweicht.</w:t>
      </w:r>
    </w:p>
    <w:p>
      <w:r>
        <w:t xml:space="preserve">(4) § 164 Absatz 2, § 165 Absatz 2 und § 176 bleiben unberührt.</w:t>
      </w:r>
    </w:p>
    <w:p>
      <w:r>
        <w:rPr>
          <w:color w:val="555555"/>
          <w:sz w:val="17"/>
        </w:rPr>
        <w:t xml:space="preserve">Zitiervorschlag: § 177 AO 1977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https://recht.nulegal.eu/gesetze/AO%201977/177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