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170 AO 1977 — Beginn der Festsetzungsfrist</w:t>
      </w:r>
    </w:p>
    <w:p>
      <w:r>
        <w:rPr>
          <w:color w:val="555555"/>
          <w:sz w:val="18"/>
        </w:rPr>
        <w:t xml:space="preserve">Abgabenordnung</w:t>
      </w:r>
    </w:p>
    <w:p>
      <w:r>
        <w:rPr>
          <w:color w:val="555555"/>
          <w:sz w:val="18"/>
        </w:rPr>
        <w:t xml:space="preserve">Stand: 13.04.2025 (konsolidierte Textfassung, kein amtliches Inkrafttretensdatum)</w:t>
      </w:r>
    </w:p>
    <w:p>
      <w:r>
        <w:t xml:space="preserve">(1) Die Festsetzungsfrist beginnt mit Ablauf des Kalenderjahrs, in dem die Steuer entstanden ist oder eine bedingt entstandene Steuer unbedingt geworden ist.</w:t>
      </w:r>
    </w:p>
    <w:p>
      <w:r>
        <w:t xml:space="preserve">(2) Abweichend von Absatz 1 beginnt die Festsetzungsfrist, wenn</w:t>
      </w:r>
    </w:p>
    <w:p>
      <w:pPr>
        <w:ind w:left="420"/>
      </w:pPr>
      <w:r>
        <w:t xml:space="preserve">1. eine Steuererklärung oder eine Steueranmeldung einzureichen oder eine Anzeige zu erstatten ist, mit Ablauf des Kalenderjahrs, in dem die Steuererklärung, die Steueranmeldung oder die Anzeige eingereicht wird, spätestens jedoch mit Ablauf des dritten Kalenderjahrs, das auf das Kalenderjahr folgt, in dem die Steuer entstanden ist, es sei denn, dass die Festsetzungsfrist nach Absatz 1 später beginnt,</w:t>
      </w:r>
    </w:p>
    <w:p>
      <w:pPr>
        <w:ind w:left="420"/>
      </w:pPr>
      <w:r>
        <w:t xml:space="preserve">2. eine Steuer durch Verwendung von Steuerzeichen oder Steuerstemplern zu zahlen ist, mit Ablauf des Kalenderjahrs, in dem für den Steuerfall Steuerzeichen oder Steuerstempler verwendet worden sind, spätestens jedoch mit Ablauf des dritten Kalenderjahrs, das auf das Kalenderjahr folgt, in dem die Steuerzeichen oder Steuerstempler hätten verwendet werden müssen.</w:t>
      </w:r>
    </w:p>
    <w:p>
      <w:r>
        <w:t xml:space="preserve">Dies gilt nicht für Verbrauchsteuern, ausgenommen die Energiesteuer auf Erdgas und die Stromsteuer.</w:t>
      </w:r>
    </w:p>
    <w:p>
      <w:r>
        <w:t xml:space="preserve">(3) Wird eine Steuer oder eine Steuervergütung nur auf Antrag festgesetzt, so beginnt die Frist für die Aufhebung oder Änderung dieser Festsetzung oder ihrer Berichtigung nach § 129 nicht vor Ablauf des Kalenderjahrs, in dem der Antrag gestellt wird.</w:t>
      </w:r>
    </w:p>
    <w:p>
      <w:r>
        <w:t xml:space="preserve">(4) Wird durch Anwendung des Absatzes 2 Nummer 1 auf die Vermögensteuer oder die Grundsteuer der Beginn der Festsetzungsfrist hinausgeschoben, so wird der Beginn der Festsetzungsfrist für die folgenden Kalenderjahre des Hauptveranlagungszeitraums jeweils um die gleiche Zeit hinausgeschoben.</w:t>
      </w:r>
    </w:p>
    <w:p>
      <w:r>
        <w:t xml:space="preserve">(5) Für die Erbschaftsteuer (Schenkungsteuer) beginnt die Festsetzungsfrist nach den Absätzen 1 oder 2</w:t>
      </w:r>
    </w:p>
    <w:p>
      <w:pPr>
        <w:ind w:left="420"/>
      </w:pPr>
      <w:r>
        <w:t xml:space="preserve">1. bei einem Erwerb von Todes wegen nicht vor Ablauf des Kalenderjahrs, in dem der Erwerber Kenntnis von dem Erwerb erlangt hat,</w:t>
      </w:r>
    </w:p>
    <w:p>
      <w:pPr>
        <w:ind w:left="420"/>
      </w:pPr>
      <w:r>
        <w:t xml:space="preserve">2. bei einer Schenkung nicht vor Ablauf des Kalenderjahrs, in dem der Schenker gestorben ist oder die Finanzbehörde von der vollzogenen Schenkung Kenntnis erlangt hat,</w:t>
      </w:r>
    </w:p>
    <w:p>
      <w:pPr>
        <w:ind w:left="420"/>
      </w:pPr>
      <w:r>
        <w:t xml:space="preserve">3. bei einer Zweckzuwendung unter Lebenden nicht vor Ablauf des Kalenderjahrs, in dem die Verpflichtung erfüllt worden ist.</w:t>
      </w:r>
    </w:p>
    <w:p>
      <w:r>
        <w:t xml:space="preserve">(6) Für die Steuer, die auf Kapitalerträge entfällt, die</w:t>
      </w:r>
    </w:p>
    <w:p>
      <w:pPr>
        <w:ind w:left="420"/>
      </w:pPr>
      <w:r>
        <w:t xml:space="preserve">1. aus Staaten oder Territorien stammen, die nicht Mitglieder der Europäischen Union oder der Europäischen Freihandelsassoziation sind, und</w:t>
      </w:r>
    </w:p>
    <w:p>
      <w:pPr>
        <w:ind w:left="420"/>
      </w:pPr>
      <w:r>
        <w:t xml:space="preserve">2. nicht nach Verträgen im Sinne des § 2 Absatz 1 oder hierauf beruhenden Vereinbarungen automatisch mitgeteilt werden,</w:t>
      </w:r>
    </w:p>
    <w:p>
      <w:r>
        <w:t xml:space="preserve">beginnt die Festsetzungsfrist frühestens mit Ablauf des Kalenderjahres, in dem diese Kapitalerträge der Finanzbehörde durch Erklärung des Steuerpflichtigen oder in sonstiger Weise bekannt geworden sind, spätestens jedoch zehn Jahre nach Ablauf des Kalenderjahres, in dem die Steuer entstanden ist.</w:t>
      </w:r>
    </w:p>
    <w:p>
      <w:r>
        <w:t xml:space="preserve">(7) Für Steuern auf Einkünfte oder Erträge, die in Zusammenhang stehen mit Beziehungen zu einer Drittstaat-Gesellschaft im Sinne des § 138 Absatz 3, auf die der Steuerpflichtige allein oder zusammen mit nahestehenden Personen im Sinne des § 1 Absatz 2 des Außensteuergesetzes unmittelbar oder mittelbar einen beherrschenden oder bestimmenden Einfluss ausüben kann, beginnt die Festsetzungsfrist frühestens mit Ablauf des Kalenderjahres, in dem diese Beziehungen durch Mitteilung des Steuerpflichtigen oder auf andere Weise bekannt geworden sind, spätestens jedoch zehn Jahre nach Ablauf des Kalenderjahres, in dem die Steuer entstanden ist.</w:t>
      </w:r>
    </w:p>
    <w:p>
      <w:r>
        <w:rPr>
          <w:color w:val="555555"/>
          <w:sz w:val="17"/>
        </w:rPr>
        <w:t xml:space="preserve">Zitiervorschlag: § 170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170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