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169 AO 1977 — Festsetzungsfrist</w:t>
      </w:r>
    </w:p>
    <w:p>
      <w:r>
        <w:rPr>
          <w:color w:val="555555"/>
          <w:sz w:val="18"/>
        </w:rPr>
        <w:t xml:space="preserve">Abgabenordnung</w:t>
      </w:r>
    </w:p>
    <w:p>
      <w:r>
        <w:rPr>
          <w:color w:val="555555"/>
          <w:sz w:val="18"/>
        </w:rPr>
        <w:t xml:space="preserve">Stand: 01.01.2026 (konsolidierte Textfassung, kein amtliches Inkrafttretensdatum)</w:t>
      </w:r>
    </w:p>
    <w:p>
      <w:r>
        <w:t xml:space="preserve">(1) Eine Steuerfestsetzung sowie ihre Aufhebung oder Änderung sind nicht mehr zulässig, wenn die Festsetzungsfrist abgelaufen ist. Dies gilt auch für die Berichtigung wegen offenbarer Unrichtigkeit nach § 129. Die Frist ist gewahrt, wenn vor Ablauf der Festsetzungsfrist</w:t>
      </w:r>
    </w:p>
    <w:p>
      <w:pPr>
        <w:ind w:left="420"/>
      </w:pPr>
      <w:r>
        <w:t xml:space="preserve">1. der Steuerbescheid</w:t>
      </w:r>
    </w:p>
    <w:p>
      <w:pPr>
        <w:ind w:left="780"/>
      </w:pPr>
      <w:r>
        <w:t xml:space="preserve">a) im Fall des § 122 Absatz 2, 2a oder Absatz 5 den Bereich der für die Steuerfestsetzung zuständigen Finanzbehörde verlassen hat oder</w:t>
      </w:r>
    </w:p>
    <w:p>
      <w:pPr>
        <w:ind w:left="780"/>
      </w:pPr>
      <w:r>
        <w:t xml:space="preserve">b) im Fall des § 122a zum Abruf bereitgestellt worden ist oder</w:t>
      </w:r>
    </w:p>
    <w:p>
      <w:pPr>
        <w:ind w:left="420"/>
      </w:pPr>
      <w:r>
        <w:t xml:space="preserve">2. bei öffentlicher Zustellung nach § 10 des Verwaltungszustellungsgesetzes die Benachrichtigung bekannt gemacht oder veröffentlicht wird.</w:t>
      </w:r>
    </w:p>
    <w:p>
      <w:r>
        <w:t xml:space="preserve">(2) Die Festsetzungsfrist beträgt:</w:t>
      </w:r>
    </w:p>
    <w:p>
      <w:pPr>
        <w:ind w:left="420"/>
      </w:pPr>
      <w:r>
        <w:t xml:space="preserve">1. ein Jahrfür Verbrauchsteuern und Verbrauchsteuervergütungen,</w:t>
      </w:r>
    </w:p>
    <w:p>
      <w:pPr>
        <w:ind w:left="420"/>
      </w:pPr>
      <w:r>
        <w:t xml:space="preserve">2. vier Jahrefür Steuern und Steuervergütungen, die keine Steuern oder Steuervergütungen im Sinne der Nummer 1 oder Einfuhr- und Ausfuhrabgaben nach Artikel 5 Nummer 20 und 21 des Zollkodex der Union sind.</w:t>
      </w:r>
    </w:p>
    <w:p>
      <w:r>
        <w:t xml:space="preserve">Die Festsetzungsfrist beträgt zehn Jahre, soweit eine Steuer hinterzogen, und fünf Jahre, soweit sie leichtfertig verkürzt worden ist. Dies gilt auch dann, wenn die Steuerhinterziehung oder leichtfertige Steuerverkürzung nicht durch den Steuerschuldner oder eine Person begangen worden ist, deren er sich zur Erfüllung seiner steuerlichen Pflichten bedient, es sei denn, der Steuerschuldner weist nach, dass er durch die Tat keinen Vermögensvorteil erlangt hat und dass sie auch nicht darauf beruht, dass er die im Verkehr erforderlichen Vorkehrungen zur Verhinderung von Steuerverkürzungen unterlassen hat.</w:t>
      </w:r>
    </w:p>
    <w:p>
      <w:r>
        <w:rPr>
          <w:color w:val="555555"/>
          <w:sz w:val="17"/>
        </w:rPr>
        <w:t xml:space="preserve">Zitiervorschlag: § 169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169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