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AO 1977 — Steueranmeldung, Verwendung von Steuerzeichen oder Steuerstemplern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Ist eine Steuer auf Grund gesetzlicher Verpflichtung anzumelden (§ 150 Absatz 1 Satz 3), so ist eine Festsetzung der Steuer nach § 155 nur erforderlich, wenn die Festsetzung zu einer abweichenden Steuer führt oder der Steuer- oder Haftungsschuldner die Steueranmeldung nicht abgibt. Satz 1 gilt sinngemäß, wenn die Steuer auf Grund gesetzlicher Verpflichtung durch Verwendung von Steuerzeichen oder Steuerstemplern zu entrichten ist. Erkennt der Steuer- oder Haftungsschuldner nach Abschluss einer Außenprüfung im Sinne des § 193 Absatz 2 Nummer 1 seine Zahlungsverpflichtung schriftlich an, steht das Anerkenntnis einer Steueranmeldung gleich.</w:t>
      </w:r>
    </w:p>
    <w:p>
      <w:r>
        <w:t xml:space="preserve">(2) Steueranmeldungen gelten auch dann als rechtzeitig abgegeben, wenn sie fristgerecht bei der zuständigen Kasse eingehen. Dies gilt nicht für Einfuhr- und Ausfuhrabgaben und Verbrauchsteuern.</w:t>
      </w:r>
    </w:p>
    <w:p>
      <w:r>
        <w:rPr>
          <w:color w:val="555555"/>
          <w:sz w:val="17"/>
        </w:rPr>
        <w:t xml:space="preserve">Zitiervorschlag: § 167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