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161 AO 1977 — Fehlmengen bei Bestandsaufnahmen</w:t>
      </w:r>
    </w:p>
    <w:p>
      <w:r>
        <w:rPr>
          <w:color w:val="555555"/>
          <w:sz w:val="18"/>
        </w:rPr>
        <w:t xml:space="preserve">Abgabenordnung</w:t>
      </w:r>
    </w:p>
    <w:p>
      <w:r>
        <w:rPr>
          <w:color w:val="555555"/>
          <w:sz w:val="18"/>
        </w:rPr>
        <w:t xml:space="preserve">Stand: 13.04.2025 (konsolidierte Textfassung, kein amtliches Inkrafttretensdatum)</w:t>
      </w:r>
    </w:p>
    <w:p>
      <w:r>
        <w:t xml:space="preserve">Ergeben sich bei einer vorgeschriebenen oder amtlich durchgeführten Bestandsaufnahme Fehlmengen an verbrauchsteuerpflichtigen Waren, so wird vermutet, dass hinsichtlich der Fehlmengen eine Verbrauchsteuer entstanden oder eine bedingt entstandene Verbrauchsteuer unbedingt geworden ist, soweit nicht glaubhaft gemacht wird, dass die Fehlmengen auf Umstände zurückzuführen sind, die eine Steuer nicht begründen oder eine bedingte Steuer nicht unbedingt werden lassen. Die Steuer gilt im Zweifel im Zeitpunkt der Bestandsaufnahme als entstanden oder unbedingt geworden.</w:t>
      </w:r>
    </w:p>
    <w:p>
      <w:r>
        <w:rPr>
          <w:color w:val="555555"/>
          <w:sz w:val="17"/>
        </w:rPr>
        <w:t xml:space="preserve">Zitiervorschlag: § 161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161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