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160 AO 1977 — Benennung von Gläubigern und Zahlungsempfängern</w:t>
      </w:r>
    </w:p>
    <w:p>
      <w:r>
        <w:rPr>
          <w:color w:val="555555"/>
          <w:sz w:val="18"/>
        </w:rPr>
        <w:t xml:space="preserve">Abgabenordnung</w:t>
      </w:r>
    </w:p>
    <w:p>
      <w:r>
        <w:rPr>
          <w:color w:val="555555"/>
          <w:sz w:val="18"/>
        </w:rPr>
        <w:t xml:space="preserve">Stand: 13.04.2025 (konsolidierte Textfassung, kein amtliches Inkrafttretensdatum)</w:t>
      </w:r>
    </w:p>
    <w:p>
      <w:r>
        <w:t xml:space="preserve">(1) Schulden und andere Lasten, Betriebsausgaben, Werbungskosten und andere Ausgaben sind steuerlich regelmäßig nicht zu berücksichtigen, wenn der Steuerpflichtige dem Verlangen der Finanzbehörde nicht nachkommt, die Gläubiger oder die Empfänger genau zu benennen. Das Recht der Finanzbehörde, den Sachverhalt zu ermitteln, bleibt unberührt.</w:t>
      </w:r>
    </w:p>
    <w:p>
      <w:r>
        <w:t xml:space="preserve">(2) § 102 bleibt unberührt.</w:t>
      </w:r>
    </w:p>
    <w:p>
      <w:r>
        <w:rPr>
          <w:color w:val="555555"/>
          <w:sz w:val="17"/>
        </w:rPr>
        <w:t xml:space="preserve">Zitiervorschlag: § 160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