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AO 1977 — Sachliche Zuständigkeit</w:t>
      </w:r>
    </w:p>
    <w:p>
      <w:r>
        <w:rPr>
          <w:color w:val="555555"/>
          <w:sz w:val="18"/>
        </w:rPr>
        <w:t xml:space="preserve">Abgabenordnung</w:t>
      </w:r>
    </w:p>
    <w:p>
      <w:r>
        <w:rPr>
          <w:color w:val="555555"/>
          <w:sz w:val="18"/>
        </w:rPr>
        <w:t xml:space="preserve">Stand: 13.04.2025 (konsolidierte Textfassung, kein amtliches Inkrafttretensdatum)</w:t>
      </w:r>
    </w:p>
    <w:p>
      <w:r>
        <w:t xml:space="preserve">Die sachliche Zuständigkeit der Finanzbehörden richtet sich, soweit nichts anderes bestimmt ist, nach dem Gesetz über die Finanzverwaltung.</w:t>
      </w:r>
    </w:p>
    <w:p>
      <w:r>
        <w:rPr>
          <w:color w:val="555555"/>
          <w:sz w:val="17"/>
        </w:rPr>
        <w:t xml:space="preserve">Zitiervorschlag: § 16 AO 1977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https://recht.nulegal.eu/gesetze/AO%201977/16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