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158 AO 1977 — Beweiskraft der Buchführung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Buchführung und die Aufzeichnungen des Steuerpflichtigen, die den Vorschriften der §§ 140 bis 148 entsprechen, sind der Besteuerung zugrunde zu legen.</w:t>
      </w:r>
    </w:p>
    <w:p>
      <w:r>
        <w:t xml:space="preserve">(2) Absatz 1 gilt nicht,</w:t>
      </w:r>
    </w:p>
    <w:p>
      <w:pPr>
        <w:ind w:left="420"/>
      </w:pPr>
      <w:r>
        <w:t xml:space="preserve">1. soweit nach den Umständen des Einzelfalls Anlass besteht, die sachliche Richtigkeit zu beanstanden oder</w:t>
      </w:r>
    </w:p>
    <w:p>
      <w:pPr>
        <w:ind w:left="420"/>
      </w:pPr>
      <w:r>
        <w:t xml:space="preserve">2. soweit die elektronischen Daten nicht nach der Vorgabe der einheitlichen digitalen Schnittstellen des § 41 Absatz 1 Satz 7 des Einkommensteuergesetzes in Verbindung mit § 4 Absatz 2a der Lohnsteuer-Durchführungsverordnung, des § 146a oder des § 147b in Verbindung mit der jeweiligen Rechtsverordnung zur Verfügung gestellt werden.</w:t>
      </w:r>
    </w:p>
    <w:p>
      <w:r>
        <w:rPr>
          <w:color w:val="555555"/>
          <w:sz w:val="17"/>
        </w:rPr>
        <w:t xml:space="preserve">Zitiervorschlag: § 158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https://recht.nulegal.eu/gesetze/AO%201977/158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158 AO 1977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