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156 AO 1977 — Absehen von der Steuerfestsetzung</w:t>
      </w:r>
    </w:p>
    <w:p>
      <w:r>
        <w:rPr>
          <w:color w:val="555555"/>
          <w:sz w:val="18"/>
        </w:rPr>
        <w:t xml:space="preserve">Abgabenordnung</w:t>
      </w:r>
    </w:p>
    <w:p>
      <w:r>
        <w:rPr>
          <w:color w:val="555555"/>
          <w:sz w:val="18"/>
        </w:rPr>
        <w:t xml:space="preserve">Stand: 13.04.2025 (konsolidierte Textfassung, kein amtliches Inkrafttretensdatum)</w:t>
      </w:r>
    </w:p>
    <w:p>
      <w:r>
        <w:t xml:space="preserve">(1) Das Bundesministerium der Finanzen kann zur Vereinfachung der Verwaltung durch Rechtsverordnung bestimmen, dass eine Steuer nicht festgesetzt wird, wenn der eigentlich festzusetzende Betrag den durch diese Rechtsverordnung zu bestimmenden Betrag voraussichtlich nicht übersteigt. Der nach Satz 1 zu bestimmende Betrag darf 25 Euro nicht übersteigen. Das Gleiche gilt für die Änderung einer Steuerfestsetzung, wenn der Betrag, der sich als Differenz zwischen der geänderten und der bisherigen Steuerfestsetzung ergeben würde, den in der Rechtsverordnung genannten Betrag nicht übersteigt. Die Rechtsverordnung bedarf nicht der Zustimmung des Bundesrates, soweit sie die Kraftfahrzeugsteuer, die Luftverkehrsteuer, die Versicherungsteuer, Einfuhr- und Ausfuhrabgaben oder Verbrauchsteuern, mit Ausnahme der Biersteuer, betrifft.</w:t>
      </w:r>
    </w:p>
    <w:p>
      <w:r>
        <w:t xml:space="preserve">(2) Die Festsetzung einer Steuer und einer steuerlichen Nebenleistung sowie deren Änderung kann, auch über einen Betrag von 25 Euro hinausgehend, unterbleiben, wenn zu erwarten ist, dass</w:t>
      </w:r>
    </w:p>
    <w:p>
      <w:pPr>
        <w:ind w:left="420"/>
      </w:pPr>
      <w:r>
        <w:t xml:space="preserve">1. die Erhebung keinen Erfolg haben wird oder</w:t>
      </w:r>
    </w:p>
    <w:p>
      <w:pPr>
        <w:ind w:left="420"/>
      </w:pPr>
      <w:r>
        <w:t xml:space="preserve">2. die Kosten der Festsetzung und die Kosten der Erhebung außer Verhältnis zu dem Betrag stehen werden.</w:t>
      </w:r>
    </w:p>
    <w:p>
      <w:r>
        <w:t xml:space="preserve">Für bestimmte oder bestimmbare Fallgruppen können die obersten Finanzbehörden bundeseinheitliche Weisungen zur Anwendung von Satz 1 Nummer 2 erteilen. Diese Weisungen dürfen nicht veröffentlicht werden, soweit dies die Gleichmäßigkeit und Gesetzmäßigkeit der Besteuerung gefährden könnte. Auf dem Gebiet der von den Landesfinanzbehörden im Auftrag des Bundes verwalteten Steuern legen die obersten Finanzbehörden der Länder diese Weisungen zur Gewährleistung eines bundeseinheitlichen Vollzugs der Steuergesetze im Einvernehmen mit dem Bundesministerium der Finanzen fest.</w:t>
      </w:r>
    </w:p>
    <w:p>
      <w:r>
        <w:rPr>
          <w:color w:val="555555"/>
          <w:sz w:val="17"/>
        </w:rPr>
        <w:t xml:space="preserve">Zitiervorschlag: § 156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