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AO 1977 — Kontenwahrheit</w:t>
      </w:r>
    </w:p>
    <w:p>
      <w:r>
        <w:rPr>
          <w:color w:val="555555"/>
          <w:sz w:val="18"/>
        </w:rPr>
        <w:t xml:space="preserve">Abgabenordnung</w:t>
      </w:r>
    </w:p>
    <w:p>
      <w:r>
        <w:rPr>
          <w:color w:val="555555"/>
          <w:sz w:val="18"/>
        </w:rPr>
        <w:t xml:space="preserve">Stand: 13.04.2025 (konsolidierte Textfassung, kein amtliches Inkrafttretensdatum)</w:t>
      </w:r>
    </w:p>
    <w:p>
      <w:r>
        <w:t xml:space="preserve">(1) Niemand darf auf einen falschen oder erdichteten Namen für sich oder einen Dritten ein Konto errichten oder Buchungen vornehmen lassen, Wertsachen (Geld, Wertpapiere, Kostbarkeiten) in Verwahrung geben oder verpfänden oder sich ein Schließfach geben lassen.</w:t>
      </w:r>
    </w:p>
    <w:p>
      <w:r>
        <w:t xml:space="preserve">(2) Wer ein Konto führt, Wertsachen verwahrt oder als Pfand nimmt oder ein Schließfach überlässt (Verpflichteter), hat</w:t>
      </w:r>
    </w:p>
    <w:p>
      <w:pPr>
        <w:ind w:left="420"/>
      </w:pPr>
      <w:r>
        <w:t xml:space="preserve">1. sich zuvor Gewissheit über die Person und Anschrift jedes Verfügungsberechtigten und jedes wirtschaftlich Berechtigten im Sinne des Geldwäschegesetzes zu verschaffen und</w:t>
      </w:r>
    </w:p>
    <w:p>
      <w:pPr>
        <w:ind w:left="420"/>
      </w:pPr>
      <w:r>
        <w:t xml:space="preserve">2. die entsprechenden Angaben in geeigneter Form, bei Konten auf dem Konto, festzuhalten.</w:t>
      </w:r>
    </w:p>
    <w:p>
      <w:r>
        <w:t xml:space="preserve">Für Verfügungsberechtigte sind § 11 Absatz 4 und 6, § 12 Absatz 1 und 2 und § 13 Absatz 1 des Geldwäschegesetzes sowie zu § 12 Absatz 3 und § 13 Absatz 2 des Geldwäschegesetzes ergangene Rechtsverordnungen, für wirtschaftlich Berechtigte der § 13 Absatz 1 des Geldwäschegesetzes sowie zu § 13 Absatz 2 des Geldwäschegesetzes ergangene Rechtsverordnungen entsprechend anzuwenden. Der Verpflichtete hat sicherzustellen, dass er den Finanzbehörden jederzeit Auskunft darüber geben kann, über welche Konten oder Schließfächer eine Person verfügungsberechtigt ist oder welche Wertsachen eine Person zur Verwahrung gegeben oder als Pfand überlassen hat. Die Geschäftsbeziehung ist kontinuierlich zu überwachen und die nach Satz 1 zu erhebenden Daten sind in angemessenem zeitlichen Abstand zu aktualisieren.</w:t>
      </w:r>
    </w:p>
    <w:p>
      <w:r>
        <w:t xml:space="preserve">(2a) Kreditinstitute haben für jeden Kontoinhaber, jeden anderen Verfügungsberechtigten und jeden wirtschaftlich Berechtigten im Sinne des Geldwäschegesetzes außerdem folgende Daten zu erheben und aufzuzeichnen:</w:t>
      </w:r>
    </w:p>
    <w:p>
      <w:pPr>
        <w:ind w:left="420"/>
      </w:pPr>
      <w:r>
        <w:t xml:space="preserve">1. die Identifikationsnummer nach § 139b und</w:t>
      </w:r>
    </w:p>
    <w:p>
      <w:pPr>
        <w:ind w:left="420"/>
      </w:pPr>
      <w:r>
        <w:t xml:space="preserve">2. die Wirtschafts-Identifikationsnummer nach § 139c oder, wenn noch keine Wirtschafts-Identifikationsnummer vergeben wurde und es sich nicht um eine natürliche Person handelt, die für die Besteuerung nach dem Einkommen geltende Steuernummer.</w:t>
      </w:r>
    </w:p>
    <w:p>
      <w:r>
        <w:t xml:space="preserve">Der Vertragspartner sowie gegebenenfalls für ihn handelnde Personen haben dem Kreditinstitut die nach Satz 1 zu erhebenden Daten mitzuteilen und sich im Laufe der Geschäftsbeziehung ergebende Änderungen unverzüglich anzuzeigen. Die Sätze 1 und 2 sind nicht anzuwenden bei Kreditkonten, wenn der Kredit ausschließlich der Finanzierung privater Konsumgüter dient und der Kreditrahmen einen Betrag von 12 000 Euro nicht übersteigt.</w:t>
      </w:r>
    </w:p>
    <w:p>
      <w:r>
        <w:t xml:space="preserve">(2b) Teilen der Vertragspartner oder gegebenenfalls für ihn handelnde Personen dem Kreditinstitut die nach Absatz 2a Satz 1 Nummer 1 zu erfassende Identifikationsnummer einer betroffenen Person bis zur Begründung der Geschäftsbeziehung nicht mit und hat das Kreditinstitut die Identifikationsnummer dieser Person auch nicht aus anderem Anlass rechtmäßig erfasst, hat es sie bis zum Ablauf des dritten Monats nach Begründung der Geschäftsbeziehung in einem maschinellen Verfahren beim Bundeszentralamt für Steuern zu erfragen. In der Anfrage dürfen nur die in § 139b Absatz 3 genannten Daten der betroffenen Person angegeben werden. Das Bundeszentralamt für Steuern teilt dem Kreditinstitut die Identifikationsnummer der betroffenen Person mit, sofern die übermittelten Daten mit den bei ihm nach § 139b Absatz 3 gespeicherten Daten übereinstimmen.</w:t>
      </w:r>
    </w:p>
    <w:p>
      <w:r>
        <w:t xml:space="preserve">(2c) Soweit das Kreditinstitut die nach Absatz 2a Satz 1 zu erhebenden Daten auf Grund unzureichender Mitwirkung des Vertragspartners und gegebenenfalls für ihn handelnder Personen nicht ermitteln kann, hat es dies auf dem Konto festzuhalten. In diesem Fall hat das Kreditinstitut dem Bundeszentralamt für Steuern die betroffenen Konten sowie die hierzu nach Absatz 2 erhobenen Daten mitzuteilen; diese Daten sind für alle in einem Kalenderjahr eröffneten Konten bis Ende Februar des Folgejahrs zu übermitteln.</w:t>
      </w:r>
    </w:p>
    <w:p>
      <w:r>
        <w:t xml:space="preserve">(2d) Die Finanzbehörden können für einzelne Fälle oder für bestimmte Fallgruppen Erleichterungen zulassen, wenn die Einhaltung der Pflichten nach den Absätzen 2 bis 2c unverhältnismäßige Härten mit sich bringt und die Besteuerung durch die Erleichterung nicht beeinträchtigt wird.</w:t>
      </w:r>
    </w:p>
    <w:p>
      <w:r>
        <w:t xml:space="preserve">(3) Ist gegen Absatz 1 verstoßen worden, so dürfen Guthaben, Wertsachen und der Inhalt eines Schließfachs nur mit Zustimmung des für die Einkommen- und Körperschaftsteuer des Verfügungsberechtigten zuständigen Finanzamts herausgegeben werden.</w:t>
      </w:r>
    </w:p>
    <w:p>
      <w:r>
        <w:rPr>
          <w:color w:val="555555"/>
          <w:sz w:val="17"/>
        </w:rPr>
        <w:t xml:space="preserve">Zitiervorschlag: § 154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