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14b AO 1977 — Körperschaften mit Sitz im Ausland</w:t>
      </w:r>
    </w:p>
    <w:p>
      <w:r>
        <w:rPr>
          <w:color w:val="555555"/>
          <w:sz w:val="18"/>
        </w:rPr>
        <w:t xml:space="preserve">Abgabenordnung</w:t>
      </w:r>
    </w:p>
    <w:p>
      <w:r>
        <w:rPr>
          <w:color w:val="555555"/>
          <w:sz w:val="18"/>
        </w:rPr>
        <w:t xml:space="preserve">Stand: 13.04.2025 (konsolidierte Textfassung, kein amtliches Inkrafttretensdatum)</w:t>
      </w:r>
    </w:p>
    <w:p>
      <w:r>
        <w:t xml:space="preserve">(1) Ist eine Körperschaft mit Sitz (§ 11) im Ausland und Ort der Geschäftsleitung (§ 10) im Geltungsbereich dieses Gesetzes nach dem Recht des Staates, in dem sie ihren Sitz hat, rechtsfähig, sind Verwaltungsakte an sie zu richten, soweit sie nach den Steuergesetzen Steuerpflichtiger ist. Dies gilt auch dann, wenn sie nach inländischem Gesellschaftsrecht mangels Rechtsfähigkeit nicht als juristische Person zu behandeln ist.</w:t>
      </w:r>
    </w:p>
    <w:p>
      <w:r>
        <w:t xml:space="preserve">(2) Auf Körperschaften im Sinne des Absatzes 1 Satz 2 sind die für juristische Personen geltenden Regelungen der §§ 34 und 79 entsprechend anzuwenden.</w:t>
      </w:r>
    </w:p>
    <w:p>
      <w:r>
        <w:t xml:space="preserve">(3) Für die Vollstreckung in das Vermögen einer Körperschaft im Sinne des Absatzes 1 genügt ein an sie gerichteter vollstreckbarer Verwaltungsakt.</w:t>
      </w:r>
    </w:p>
    <w:p>
      <w:r>
        <w:t xml:space="preserve">(4) Die Anteilseigner einer Körperschaft im Sinne des Absatzes 1 Satz 2 haften für die von der Körperschaft geschuldeten Ansprüche aus dem Steuerschuldverhältnis unbeschränkt.</w:t>
      </w:r>
    </w:p>
    <w:p>
      <w:r>
        <w:rPr>
          <w:color w:val="555555"/>
          <w:sz w:val="17"/>
        </w:rPr>
        <w:t xml:space="preserve">Zitiervorschlag: § 14b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