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146a AO 1977 — Ordnungsvorschrift für die Buchführung und für Aufzeichnungen mittels elektronischer Aufzeichnungssysteme; Verordnungsermächtigung</w:t>
      </w:r>
    </w:p>
    <w:p>
      <w:r>
        <w:rPr>
          <w:color w:val="555555"/>
          <w:sz w:val="18"/>
        </w:rPr>
        <w:t xml:space="preserve">Abgabenordnung</w:t>
      </w:r>
    </w:p>
    <w:p>
      <w:r>
        <w:rPr>
          <w:color w:val="555555"/>
          <w:sz w:val="18"/>
        </w:rPr>
        <w:t xml:space="preserve">Stand: 13.04.2025 (konsolidierte Textfassung, kein amtliches Inkrafttretensdatum)</w:t>
      </w:r>
    </w:p>
    <w:p>
      <w:r>
        <w:t xml:space="preserve">(1) Wer aufzeichnungspflichtige Geschäftsvorfälle oder andere Vorgänge mit Hilfe eines elektronischen Aufzeichnungssystems erfasst, hat ein elektronisches Aufzeichnungssystem zu verwenden, das jeden aufzeichnungspflichtigen Geschäftsvorfall und anderen Vorgang einzeln, vollständig, richtig, zeitgerecht und geordnet aufzeichnet. Das elektronische Aufzeichnungssystem und die digitalen Aufzeichnungen nach Satz 1 sind durch eine zertifizierte technische Sicherheitseinrichtung zu schützen. Diese zertifizierte technische Sicherheitseinrichtung muss aus einem Sicherheitsmodul, einem Speichermedium und einer einheitlichen digitalen Schnittstelle bestehen. Die digitalen Aufzeichnungen sind auf dem Speichermedium zu sichern und für Nachschauen sowie Außenprüfungen durch elektronische Aufbewahrung verfügbar zu halten. Es ist verboten, innerhalb des Geltungsbereichs dieses Gesetzes solche elektronischen Aufzeichnungssysteme, Software für elektronische Aufzeichnungssysteme und zertifizierte technische Sicherheitseinrichtungen, die den in den Sätzen 1 bis 3 beschriebenen Anforderungen nicht entsprechen, zur Verwendung im Sinne der Sätze 1 bis 3 gewerbsmäßig zu bewerben oder gewerbsmäßig in den Verkehr zu bringen.</w:t>
      </w:r>
    </w:p>
    <w:p>
      <w:r>
        <w:t xml:space="preserve">(2) Wer aufzeichnungspflichtige Geschäftsvorfälle im Sinne des Absatzes 1 Satz 1 erfasst, hat dem an diesem Geschäftsvorfall Beteiligten in unmittelbarem zeitlichem Zusammenhang mit dem Geschäftsvorfall unbeschadet anderer gesetzlicher Vorschriften einen Beleg über den Geschäftsvorfall auszustellen und dem an diesem Geschäftsvorfall Beteiligten zur Verfügung zu stellen (Belegausgabepflicht). Bei Verkauf von Waren an eine Vielzahl von nicht bekannten Personen können die Finanzbehörden nach § 148 aus Zumutbarkeitsgründen nach pflichtgemäßem Ermessen von einer Belegausgabepflicht nach Satz 1 befreien. Die Befreiung kann widerrufen werden.</w:t>
      </w:r>
    </w:p>
    <w:p>
      <w:r>
        <w:t xml:space="preserve">(3) Das Bundesministerium der Finanzen wird ermächtigt, durch Rechtsverordnung mit Zustimmung des Bundestages und des Bundesrates und im Einvernehmen mit dem Bundesministerium des Innern und für Heimat und dem Bundesministerium für Wirtschaft und Klimaschutz Folgendes zu bestimmen:</w:t>
      </w:r>
    </w:p>
    <w:p>
      <w:pPr>
        <w:ind w:left="420"/>
      </w:pPr>
      <w:r>
        <w:t xml:space="preserve">1. die elektronischen Aufzeichnungssysteme, die über eine zertifizierte technische Sicherheitseinrichtung verfügen müssen, und</w:t>
      </w:r>
    </w:p>
    <w:p>
      <w:pPr>
        <w:ind w:left="420"/>
      </w:pPr>
      <w:r>
        <w:t xml:space="preserve">2. die Anforderungen an</w:t>
      </w:r>
    </w:p>
    <w:p>
      <w:pPr>
        <w:ind w:left="780"/>
      </w:pPr>
      <w:r>
        <w:t xml:space="preserve">a) das Sicherheitsmodul,</w:t>
      </w:r>
    </w:p>
    <w:p>
      <w:pPr>
        <w:ind w:left="780"/>
      </w:pPr>
      <w:r>
        <w:t xml:space="preserve">b) das Speichermedium,</w:t>
      </w:r>
    </w:p>
    <w:p>
      <w:pPr>
        <w:ind w:left="780"/>
      </w:pPr>
      <w:r>
        <w:t xml:space="preserve">c) die einheitliche digitale Schnittstelle,</w:t>
      </w:r>
    </w:p>
    <w:p>
      <w:pPr>
        <w:ind w:left="780"/>
      </w:pPr>
      <w:r>
        <w:t xml:space="preserve">d) die elektronische Aufbewahrung der Aufzeichnungen,</w:t>
      </w:r>
    </w:p>
    <w:p>
      <w:pPr>
        <w:ind w:left="780"/>
      </w:pPr>
      <w:r>
        <w:t xml:space="preserve">e) die Protokollierung von digitalen Grundaufzeichnungen zur Sicherstellung der Integrität und Authentizität sowie der Vollständigkeit der elektronischen Aufzeichnung,</w:t>
      </w:r>
    </w:p>
    <w:p>
      <w:pPr>
        <w:ind w:left="780"/>
      </w:pPr>
      <w:r>
        <w:t xml:space="preserve">f) den Beleg und</w:t>
      </w:r>
    </w:p>
    <w:p>
      <w:pPr>
        <w:ind w:left="780"/>
      </w:pPr>
      <w:r>
        <w:t xml:space="preserve">g) die Zertifizierung der technischen Sicherheitseinrichtung.</w:t>
      </w:r>
    </w:p>
    <w:p>
      <w:r>
        <w:t xml:space="preserve">Die Erfüllung der Anforderungen nach Satz 1 Nummer 2 Buchstabe a bis c ist durch eine Zertifizierung des Bundesamts für Sicherheit in der Informationstechnik nachzuweisen, die fortlaufend aufrechtzuerhalten ist. Das Bundesamt für Sicherheit in der Informationstechnik kann mit der Festlegung von Anforderungen an die technische Sicherheitseinrichtung im Sinne des Satzes 1 Nummer 2 Buchstabe a bis c beauftragt werden. Die Rechtsverordnung nach Satz 1 ist dem Bundestag zuzuleiten. Die Zuleitung erfolgt vor der Zuleitung an den Bundesrat. Der Bundestag kann der Rechtsverordnung durch Beschluss zustimmen oder sie durch Beschluss ablehnen. Der Beschluss des Bundestages wird dem Bundesministerium der Finanzen zugeleitet. Hat sich der Bundestag nach Ablauf von drei Sitzungswochen seit Eingang der Rechtsverordnung nicht mit ihr befasst, so gilt die Zustimmung nach Satz 1 als erteilt und die Rechtsverordnung wird dem Bundesrat zugeleitet.</w:t>
      </w:r>
    </w:p>
    <w:p>
      <w:r>
        <w:t xml:space="preserve">(4) Wer aufzeichnungspflichtige Geschäftsvorfälle oder andere Vorgänge mit Hilfe eines elektronischen Aufzeichnungssystems im Sinne des Absatzes 1 erfasst, hat dem nach den §§ 18 bis 20 zuständigen Finanzamt nach amtlich vorgeschriebenen Datensatz durch Datenfernübertragung mitzuteilen:</w:t>
      </w:r>
    </w:p>
    <w:p>
      <w:pPr>
        <w:ind w:left="420"/>
      </w:pPr>
      <w:r>
        <w:t xml:space="preserve">1. Name des Steuerpflichtigen,</w:t>
      </w:r>
    </w:p>
    <w:p>
      <w:pPr>
        <w:ind w:left="420"/>
      </w:pPr>
      <w:r>
        <w:t xml:space="preserve">2. Steuernummer des Steuerpflichtigen,</w:t>
      </w:r>
    </w:p>
    <w:p>
      <w:pPr>
        <w:ind w:left="420"/>
      </w:pPr>
      <w:r>
        <w:t xml:space="preserve">3. Art der zertifizierten technischen Sicherheitseinrichtung,</w:t>
      </w:r>
    </w:p>
    <w:p>
      <w:pPr>
        <w:ind w:left="420"/>
      </w:pPr>
      <w:r>
        <w:t xml:space="preserve">4. Art des verwendeten elektronischen Aufzeichnungssystems,</w:t>
      </w:r>
    </w:p>
    <w:p>
      <w:pPr>
        <w:ind w:left="420"/>
      </w:pPr>
      <w:r>
        <w:t xml:space="preserve">5. Anzahl der verwendeten elektronischen Aufzeichnungssysteme,</w:t>
      </w:r>
    </w:p>
    <w:p>
      <w:pPr>
        <w:ind w:left="420"/>
      </w:pPr>
      <w:r>
        <w:t xml:space="preserve">6. Seriennummer des verwendeten elektronischen Aufzeichnungssystems,</w:t>
      </w:r>
    </w:p>
    <w:p>
      <w:pPr>
        <w:ind w:left="420"/>
      </w:pPr>
      <w:r>
        <w:t xml:space="preserve">7. Datum der Anschaffung des verwendeten elektronischen Aufzeichnungssystems,</w:t>
      </w:r>
    </w:p>
    <w:p>
      <w:pPr>
        <w:ind w:left="420"/>
      </w:pPr>
      <w:r>
        <w:t xml:space="preserve">8. Datum der Außerbetriebnahme des verwendeten elektronischen Aufzeichnungssystems.</w:t>
      </w:r>
    </w:p>
    <w:p>
      <w:r>
        <w:t xml:space="preserve">Die Mitteilung nach Satz 1 ist innerhalb eines Monats nach Anschaffung oder Außerbetriebnahme des elektronischen Aufzeichnungssystems zu erstatten.</w:t>
      </w:r>
    </w:p>
    <w:p>
      <w:r>
        <w:rPr>
          <w:color w:val="555555"/>
          <w:sz w:val="17"/>
        </w:rPr>
        <w:t xml:space="preserve">Zitiervorschlag: § 146a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