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142 AO 1977 — Ergänzende Vorschriften für Land- und Forstwirte</w:t>
      </w:r>
    </w:p>
    <w:p>
      <w:r>
        <w:rPr>
          <w:color w:val="555555"/>
          <w:sz w:val="18"/>
        </w:rPr>
        <w:t xml:space="preserve">Abgabenordnung</w:t>
      </w:r>
    </w:p>
    <w:p>
      <w:r>
        <w:rPr>
          <w:color w:val="555555"/>
          <w:sz w:val="18"/>
        </w:rPr>
        <w:t xml:space="preserve">Stand: 01.09.2026 (konsolidierte Textfassung, kein amtliches Inkrafttretensdatum)</w:t>
      </w:r>
    </w:p>
    <w:p>
      <w:r>
        <w:t xml:space="preserve">(1) Land- und Forstwirte, die nach § 141 Absatz 1 Satz 1 Nummer 1 oder 5 zur Buchführung verpflichtet sind, haben neben den jährlichen Bestandsaufnahmen und den jährlichen Abschlüssen ein Anbauverzeichnis zu führen. In dem Anbauverzeichnis ist nachzuweisen, mit welchen Fruchtarten die selbstbewirtschafteten Flächen im abgelaufenen Wirtschaftsjahr bestellt waren.</w:t>
      </w:r>
    </w:p>
    <w:p>
      <w:r>
        <w:t xml:space="preserve">(2) Bei forstwirtschaftlichen Betrieben kann auf das Führen eines Anbauverzeichnisses nach Absatz 1 verzichtet werden, wenn ein Forstbetriebswerk oder ein amtlich anerkanntes Betriebsgutachten für das jeweilige Wirtschaftsjahr vorliegt.</w:t>
      </w:r>
    </w:p>
    <w:p>
      <w:r>
        <w:t xml:space="preserve">(3) Bei landwirtschaftlichen Betrieben kann die zuständige Finanzbehörde von der Pflicht zur Führung eines Anbauverzeichnisses nach Absatz 1 befreien, wenn ein geeigneter Flächen- und Nutzungsnachweis für das jeweilige Wirtschaftsjahr vorliegt. In dem Flächen- und Nutzungsnachweis müssen die Angaben nach Absatz 1 Satz 2 enthalten sein. Die Befreiung kann widerrufen werden.</w:t>
      </w:r>
    </w:p>
    <w:p>
      <w:r>
        <w:rPr>
          <w:color w:val="555555"/>
          <w:sz w:val="17"/>
        </w:rPr>
        <w:t xml:space="preserve">Zitiervorschlag: § 142 AO 1977</w:t>
      </w:r>
    </w:p>
    <w:p>
      <w:r>
        <w:rPr>
          <w:color w:val="555555"/>
          <w:sz w:val="17"/>
        </w:rPr>
        <w:t xml:space="preserve">Quelle: Bundesamt für Justiz, abgerufen 01.09.2026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