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138e AO 1977 — Kennzeichen grenzüberschreitender Steuergestaltungen</w:t>
      </w:r>
    </w:p>
    <w:p>
      <w:r>
        <w:rPr>
          <w:color w:val="555555"/>
          <w:sz w:val="18"/>
        </w:rPr>
        <w:t xml:space="preserve">Abgabenordnung</w:t>
      </w:r>
    </w:p>
    <w:p>
      <w:r>
        <w:rPr>
          <w:color w:val="555555"/>
          <w:sz w:val="18"/>
        </w:rPr>
        <w:t xml:space="preserve">Stand: 13.04.2025 (konsolidierte Textfassung, kein amtliches Inkrafttretensdatum)</w:t>
      </w:r>
    </w:p>
    <w:p>
      <w:r>
        <w:t xml:space="preserve">(1) Kennzeichen im Sinne des § 138d Absatz 2 Satz 1 Nummer 3 Buchstabe a sind:</w:t>
      </w:r>
    </w:p>
    <w:p>
      <w:pPr>
        <w:ind w:left="420"/>
      </w:pPr>
      <w:r>
        <w:t xml:space="preserve">1. die Vereinbarung</w:t>
      </w:r>
    </w:p>
    <w:p>
      <w:pPr>
        <w:ind w:left="780"/>
      </w:pPr>
      <w:r>
        <w:t xml:space="preserve">a) einer Vertraulichkeitsklausel, die dem Nutzer oder einem anderen an der Steuergestaltung Beteiligten eine Offenlegung, auf welche Weise aufgrund der Gestaltung ein steuerlicher Vorteil erlangt wird, gegenüber anderen Intermediären oder den Finanzbehörden verbietet, oder</w:t>
      </w:r>
    </w:p>
    <w:p>
      <w:pPr>
        <w:ind w:left="780"/>
      </w:pPr>
      <w:r>
        <w:t xml:space="preserve">b) einer Vergütung, die in Bezug auf den steuerlichen Vorteil der Steuergestaltung festgesetzt wird; dies gilt, wenn die Vergütung von der Höhe des steuerlichen Vorteils abhängt oder wenn die Vereinbarung die Abrede enthält, die Vergütung ganz oder teilweise zurückzuerstatten, falls der mit der Gestaltung zu erwartende steuerliche Vorteil ganz oder teilweise nicht erzielt wird,</w:t>
      </w:r>
    </w:p>
    <w:p>
      <w:pPr>
        <w:ind w:left="420"/>
      </w:pPr>
      <w:r>
        <w:t xml:space="preserve">2. eine standardisierte Dokumentation oder Struktur der Gestaltung, die für mehr als einen Nutzer verfügbar ist, ohne dass sie für die Nutzung wesentlich individuell angepasst werden muss,</w:t>
      </w:r>
    </w:p>
    <w:p>
      <w:pPr>
        <w:ind w:left="420"/>
      </w:pPr>
      <w:r>
        <w:t xml:space="preserve">3. Gestaltungen, die zum Gegenstand haben, dass</w:t>
      </w:r>
    </w:p>
    <w:p>
      <w:pPr>
        <w:ind w:left="780"/>
      </w:pPr>
      <w:r>
        <w:t xml:space="preserve">a) ein an der Gestaltung Beteiligter unangemessene rechtliche Schritte unternimmt, um ein verlustbringendes Unternehmen unmittelbar oder mittelbar zu erwerben, die Haupttätigkeit dieses Unternehmens zu beenden und dessen Verluste dafür zu nutzen, seine Steuerbelastung zu verringern, einschließlich der Übertragung der Verluste in ein anderes Steuerhoheitsgebiet oder der zeitlich näheren Nutzung dieser Verluste,</w:t>
      </w:r>
    </w:p>
    <w:p>
      <w:pPr>
        <w:ind w:left="780"/>
      </w:pPr>
      <w:r>
        <w:t xml:space="preserve">b) Einkünfte in Vermögen, Schenkungen oder andere nicht oder niedriger besteuerte Einnahmen oder nicht steuerbare Einkünfte umgewandelt werden,</w:t>
      </w:r>
    </w:p>
    <w:p>
      <w:pPr>
        <w:ind w:left="780"/>
      </w:pPr>
      <w:r>
        <w:t xml:space="preserve">c) Transaktionen durch die Einbeziehung zwischengeschalteter Unternehmen, die keine wesentliche wirtschaftliche Tätigkeit ausüben, oder Transaktionen, die sich gegenseitig aufheben oder ausgleichen, für zirkuläre Vermögensverschiebungen genutzt werden,</w:t>
      </w:r>
    </w:p>
    <w:p>
      <w:pPr>
        <w:ind w:left="780"/>
      </w:pPr>
      <w:r>
        <w:t xml:space="preserve">d) der Empfänger grenzüberschreitender, beim Zahlenden als Betriebsausgaben abzugsfähiger Zahlungen zwischen zwei oder mehr verbundenen Unternehmen in einem Steuerhoheitsgebiet ansässig ist, das keine Körperschaftsteuer erhebt oder einen Körperschaftsteuersatz von 0 Prozent oder nahe 0 Prozent hat, oder</w:t>
      </w:r>
    </w:p>
    <w:p>
      <w:pPr>
        <w:ind w:left="780"/>
      </w:pPr>
      <w:r>
        <w:t xml:space="preserve">e) die grenzüberschreitende, beim Zahlenden als Betriebsausgaben abzugsfähige Zahlung zwischen zwei oder mehr verbundenen Unternehmen in ein Steuerhoheitsgebiet erfolgt, in dem der Empfänger ansässig ist, soweit dieses Steuerhoheitsgebiet die Zahlung</w:t>
      </w:r>
    </w:p>
    <w:p>
      <w:pPr>
        <w:ind w:left="1140"/>
      </w:pPr>
      <w:r>
        <w:t xml:space="preserve">aa) vollständig von der Steuer befreit oder</w:t>
      </w:r>
    </w:p>
    <w:p>
      <w:pPr>
        <w:ind w:left="1140"/>
      </w:pPr>
      <w:r>
        <w:t xml:space="preserve">bb) einer steuerlichen Präferenzregelung unterwirft.</w:t>
      </w:r>
    </w:p>
    <w:p>
      <w:r>
        <w:t xml:space="preserve">(2) Kennzeichen im Sinne des § 138d Absatz 2 Satz 1 Nummer 3 Buchstabe b sind:</w:t>
      </w:r>
    </w:p>
    <w:p>
      <w:pPr>
        <w:ind w:left="420"/>
      </w:pPr>
      <w:r>
        <w:t xml:space="preserve">1. Gestaltungen, die zum Gegenstand haben, dass</w:t>
      </w:r>
    </w:p>
    <w:p>
      <w:pPr>
        <w:ind w:left="780"/>
      </w:pPr>
      <w:r>
        <w:t xml:space="preserve">a) der Empfänger grenzüberschreitender Zahlungen, die zwischen zwei oder mehr verbundenen Unternehmen erfolgen und beim Zahlenden als Betriebsausgabe abzugsfähig sind,</w:t>
      </w:r>
    </w:p>
    <w:p>
      <w:pPr>
        <w:ind w:left="1140"/>
      </w:pPr>
      <w:r>
        <w:t xml:space="preserve">aa) in keinem Steuerhoheitsgebiet ansässig ist oder</w:t>
      </w:r>
    </w:p>
    <w:p>
      <w:pPr>
        <w:ind w:left="1140"/>
      </w:pPr>
      <w:r>
        <w:t xml:space="preserve">bb) in einem Steuerhoheitsgebiet ansässig ist, das in der Liste der Drittstaaten aufgeführt wird, die von den Mitgliedstaaten der Europäischen Union oder von der Organisation für wirtschaftliche Zusammenarbeit und Entwicklung als nicht kooperierende Jurisdiktion eingestuft wurde,</w:t>
      </w:r>
    </w:p>
    <w:p>
      <w:pPr>
        <w:ind w:left="780"/>
      </w:pPr>
      <w:r>
        <w:t xml:space="preserve">b) in mehr als einem Steuerhoheitsgebiet</w:t>
      </w:r>
    </w:p>
    <w:p>
      <w:pPr>
        <w:ind w:left="1140"/>
      </w:pPr>
      <w:r>
        <w:t xml:space="preserve">aa) Absetzungen für Abnutzung desselben Vermögenswertes in Anspruch genommen werden oder</w:t>
      </w:r>
    </w:p>
    <w:p>
      <w:pPr>
        <w:ind w:left="1140"/>
      </w:pPr>
      <w:r>
        <w:t xml:space="preserve">bb) eine Befreiung von der Doppelbesteuerung für dieselben Einkünfte oder dasselbe Vermögen vorgenommen wird und die Einkünfte oder das Vermögen deshalb ganz oder teilweise unversteuert bleiben</w:t>
      </w:r>
    </w:p>
    <w:p>
      <w:pPr>
        <w:ind w:left="420"/>
      </w:pPr>
      <w:r>
        <w:t xml:space="preserve">oder</w:t>
      </w:r>
    </w:p>
    <w:p>
      <w:pPr>
        <w:ind w:left="780"/>
      </w:pPr>
      <w:r>
        <w:t xml:space="preserve">c) die Gestaltung eine Übertragung oder Überführung von Vermögensgegenständen vorsieht, soweit sich die steuerliche Bewertung des Vermögensgegenstandes in den beteiligten Steuerhoheitsgebieten wesentlich unterscheidet;</w:t>
      </w:r>
    </w:p>
    <w:p>
      <w:pPr>
        <w:ind w:left="420"/>
      </w:pPr>
      <w:r>
        <w:t xml:space="preserve">2. Gestaltungen, die zu einer Aushöhlung der Mitteilungspflicht gemäß den Rechtsvorschriften zur Umsetzung des Standards für den automatischen Austausch von Informationen über Finanzkonten in Steuersachen (gemeinsamer Meldestandard) führen können oder die sich das Fehlen derartiger Rechtsvorschriften zu Nutze machen; derartige Gestaltungen umfassen insbesondere</w:t>
      </w:r>
    </w:p>
    <w:p>
      <w:pPr>
        <w:ind w:left="780"/>
      </w:pPr>
      <w:r>
        <w:t xml:space="preserve">a) die Nutzung eines Kontos, eines Produkts oder einer Anlage, welches oder welche kein Finanzkonto im Sinne des § 19 Nummer 18 des Finanzkonten-Informationsaustauschgesetzes (Finanzkonto) ist oder vorgeblich kein Finanzkonto ist, jedoch Merkmale aufweist, die denen eines Finanzkontos entsprechen,</w:t>
      </w:r>
    </w:p>
    <w:p>
      <w:pPr>
        <w:ind w:left="780"/>
      </w:pPr>
      <w:r>
        <w:t xml:space="preserve">b) die Übertragung eines Finanzkontos oder von Vermögenswerten in ein Steuerhoheitsgebiet, das nicht an den automatischen Informationsaustausch über Finanzkonten nach dem gemeinsamen Meldestandard mit dem Steuerhoheitsgebiet, in dem der Nutzer ansässig ist, gebunden ist, oder die Einbeziehung solcher Steuerhoheitsgebiete,</w:t>
      </w:r>
    </w:p>
    <w:p>
      <w:pPr>
        <w:ind w:left="780"/>
      </w:pPr>
      <w:r>
        <w:t xml:space="preserve">c) die Neueinstufung von Einkünften und Vermögen als Produkte oder Zahlungen, die nicht dem automatischen Informationsaustausch über Finanzkonten nach dem gemeinsamen Meldestandard unterliegen,</w:t>
      </w:r>
    </w:p>
    <w:p>
      <w:pPr>
        <w:ind w:left="780"/>
      </w:pPr>
      <w:r>
        <w:t xml:space="preserve">d) die Übertragung oder Umwandlung eines Finanzinstituts im Sinne des § 19 Nummer 3 des Finanzkonten-Informationsaustauschgesetzes (Finanzinstitut) oder eines Finanzkontos oder der darin enthaltenen Vermögenswerte in Finanzinstitute, Finanzkonten oder Vermögenswerte, die nicht der Meldepflicht im Rahmen des automatischen Informationsaustauschs über Finanzkonten nach dem gemeinsamen Meldestandard unterliegen,</w:t>
      </w:r>
    </w:p>
    <w:p>
      <w:pPr>
        <w:ind w:left="780"/>
      </w:pPr>
      <w:r>
        <w:t xml:space="preserve">e) die Einbeziehung von Rechtsträgern, Steuergestaltungen oder Strukturen, die die Meldung eines Kontoinhabers im Sinne des § 20 Nummer 1 des Finanzkonten-Informationsaustauschgesetzes (Kontoinhaber) oder mehrerer Kontoinhaber oder einer beherrschenden Person im Sinne des § 19 Nummer 39 des Finanzkonten-Informationsaustauschgesetzes (beherrschende Person) oder mehrerer beherrschender Personen im Rahmen des automatischen Informationsaustauschs über Finanzkonten nach dem gemeinsamen Meldestandard ausschließen oder auszuschließen vorgeben, oder</w:t>
      </w:r>
    </w:p>
    <w:p>
      <w:pPr>
        <w:ind w:left="780"/>
      </w:pPr>
      <w:r>
        <w:t xml:space="preserve">f) die Aushöhlung von Verfahren zur Erfüllung der Sorgfaltspflichten, die Finanzinstitute zur Erfüllung ihrer Meldepflichten bezüglich Informationen zu Finanzkonten nach dem gemeinsamen Meldestandard anwenden, oder die Ausnutzung von Schwächen in diesen Verfahren, einschließlich der Einbeziehung von Staaten oder Territorien mit ungeeigneten oder schwachen Regelungen für die Durchsetzung von Vorschriften gegen Geldwäsche oder mit schwachen Transparenzanforderungen für juristische Personen oder Rechtsvereinbarungen;</w:t>
      </w:r>
    </w:p>
    <w:p>
      <w:pPr>
        <w:ind w:left="420"/>
      </w:pPr>
      <w:r>
        <w:t xml:space="preserve">3. Gestaltungen mit rechtlichen Eigentümern oder wirtschaftlich Berechtigten unter Einbeziehung von Personen, Rechtsvereinbarungen oder Strukturen,</w:t>
      </w:r>
    </w:p>
    <w:p>
      <w:pPr>
        <w:ind w:left="780"/>
      </w:pPr>
      <w:r>
        <w:t xml:space="preserve">a) die keine wesentliche wirtschaftliche Tätigkeit ausüben, die mit angemessener Ausstattung, angemessenen personellen Ressourcen, angemessenen Vermögenswerten und angemessenen Räumlichkeiten einhergeht, und</w:t>
      </w:r>
    </w:p>
    <w:p>
      <w:pPr>
        <w:ind w:left="780"/>
      </w:pPr>
      <w:r>
        <w:t xml:space="preserve">b) die in anderen Steuerhoheitsgebieten eingetragen, ansässig oder niedergelassen sind oder verwaltet oder kontrolliert werden als dem Steuerhoheitsgebiet, in dem ein oder mehrere der wirtschaftlich Berechtigten der von diesen Personen, Rechtsvereinbarungen oder Strukturen gehaltenen Vermögenswerte ansässig sind,</w:t>
      </w:r>
    </w:p>
    <w:p>
      <w:pPr>
        <w:ind w:left="420"/>
      </w:pPr>
      <w:r>
        <w:t xml:space="preserve">sofern die wirtschaftlich Berechtigten dieser Personen, Rechtsvereinbarungen oder Strukturen im Sinne des § 3 des Geldwäschegesetzes nicht identifizierbar gemacht werden (intransparente Kette);</w:t>
      </w:r>
    </w:p>
    <w:p>
      <w:pPr>
        <w:ind w:left="420"/>
      </w:pPr>
      <w:r>
        <w:t xml:space="preserve">4. Verrechnungspreisgestaltungen, bei denen</w:t>
      </w:r>
    </w:p>
    <w:p>
      <w:pPr>
        <w:ind w:left="780"/>
      </w:pPr>
      <w:r>
        <w:t xml:space="preserve">a) eine unilaterale Regelung genutzt wird, die für eine festgelegte Kategorie von Nutzern oder Geschäftsvorfällen gilt und die dafür in Betracht kommende Nutzer von bestimmten Verpflichtungen befreit, die aufgrund der allgemeinen Verrechnungspreisvorschriften eines Steuerhoheitsgebiets sonst zu erfüllen wären,</w:t>
      </w:r>
    </w:p>
    <w:p>
      <w:pPr>
        <w:ind w:left="780"/>
      </w:pPr>
      <w:r>
        <w:t xml:space="preserve">b) immaterielle Werte oder Rechte an immateriellen Werten an ein verbundenes Unternehmen übertragen oder zwischen dem Unternehmen und seiner ausländischen Betriebstätte überführt werden, für die zum Zeitpunkt ihrer Übertragung oder Überführung keine ausreichenden Vergleichswerte vorliegen und zum Zeitpunkt der Transaktion die Prognosen voraussichtlicher Cashflows oder die vom übertragenen oder überführten immateriellen Wert erwarteten abzuleitenden Einkünfte oder die der Bewertung des immateriellen Wertes oder Rechts an immateriellen Werten zugrunde gelegten Annahmen höchst unsicher sind, weshalb der Totalerfolg zum Zeitpunkt der Übertragung oder Überführung nur schwer absehbar ist (schwer zu bewertende immaterielle Werte), oder</w:t>
      </w:r>
    </w:p>
    <w:p>
      <w:pPr>
        <w:ind w:left="780"/>
      </w:pPr>
      <w:r>
        <w:t xml:space="preserve">c) innerhalb von verbundenen Unternehmen eine grenzüberschreitende Übertragung oder Verlagerung von Funktionen, Risiken, Wirtschaftsgütern oder sonstigen Vorteilen stattfindet und der erwartete jährliche Gewinn vor Zinsen und Steuern des übertragenden Unternehmens über einen Zeitraum von drei Jahren nach der Übertragung weniger als 50 Prozent des jährlichen Gewinns vor Zinsen und Steuern des übertragenden Unternehmens beträgt, der erwartet worden wäre, wenn die Übertragung nicht stattgefunden hätte; bei dieser Erwartung ist davon auszugehen, dass die verbundenen Unternehmen nach den Grundsätzen ordentlicher und gewissenhafter Geschäftsleiter handeln; diese Regelungen gelten sinngemäß auch für Betriebstätten.</w:t>
      </w:r>
    </w:p>
    <w:p>
      <w:r>
        <w:t xml:space="preserve">(3) Ein verbundenes Unternehmen im Sinne der Absätze 1 und 2 ist eine Person, die mit einer anderen Person auf mindestens eine der folgenden Arten verbunden ist:</w:t>
      </w:r>
    </w:p>
    <w:p>
      <w:pPr>
        <w:ind w:left="420"/>
      </w:pPr>
      <w:r>
        <w:t xml:space="preserve">1. eine Person ist an der Geschäftsleitung einer anderen Person insofern beteiligt, als sie erheblichen Einfluss auf diese Person ausüben kann;</w:t>
      </w:r>
    </w:p>
    <w:p>
      <w:pPr>
        <w:ind w:left="420"/>
      </w:pPr>
      <w:r>
        <w:t xml:space="preserve">2. eine Person ist über eine Beteiligungsgesellschaft mit mehr als 25 Prozent der Stimmrechte an der Kontrolle einer anderen Person beteiligt;</w:t>
      </w:r>
    </w:p>
    <w:p>
      <w:pPr>
        <w:ind w:left="420"/>
      </w:pPr>
      <w:r>
        <w:t xml:space="preserve">3. eine Person ist über eine Inhaberschaft, die unmittelbar oder mittelbar mehr als 25 Prozent des Kapitals beträgt, am Kapital einer anderen Person beteiligt;</w:t>
      </w:r>
    </w:p>
    <w:p>
      <w:pPr>
        <w:ind w:left="420"/>
      </w:pPr>
      <w:r>
        <w:t xml:space="preserve">4. eine Person hat Anspruch auf mindestens 25 Prozent der Gewinne einer anderen Person.</w:t>
      </w:r>
    </w:p>
    <w:p>
      <w:r>
        <w:t xml:space="preserve">Falls mehr als eine Person gemäß Satz 1 an der Geschäftsleitung, der Kontrolle, dem Kapital oder den Gewinnen derselben Person beteiligt ist, gelten alle betroffenen Personen als untereinander verbundene Unternehmen. Falls dieselben Personen gemäß Satz 1 an der Geschäftsleitung, der Kontrolle, dem Kapital oder den Gewinnen von mehr als einer Person beteiligt sind, gelten alle betroffenen Personen als verbundene Unternehmen. Für die Zwecke dieses Absatzes wird eine Person, die in Bezug auf die Stimmrechte oder die Kapitalbeteiligung an einem Unternehmen gemeinsam mit einer anderen Person handelt, so behandelt, als würde sie eine Beteiligung an allen Stimmrechten oder dem gesamten Kapital dieses Unternehmens halten, die oder das von der anderen Person gehalten werden oder wird. Bei mittelbaren Beteiligungen wird die Erfüllung der Anforderungen gemäß Satz 1 Nummer 3 durch Multiplikation der Beteiligungsquoten an den nachgeordneten Unternehmen ermittelt. Eine Person mit einer Stimmrechtsbeteiligung von mehr als 50 Prozent gilt als Halter von 100 Prozent der Stimmrechte. Eine natürliche Person, ihr Ehepartner und ihre Verwandten in aufsteigender oder absteigender gerader Linie werden als eine einzige Person behandelt, wenn gleichgerichtete wirtschaftliche Interessen bestehen. Person im Sinne der Sätze 1 bis 7 ist jede natürliche oder juristische Person, Personengesellschaft, Gemeinschaft oder Vermögensmasse.</w:t>
      </w:r>
    </w:p>
    <w:p>
      <w:r>
        <w:rPr>
          <w:color w:val="555555"/>
          <w:sz w:val="17"/>
        </w:rPr>
        <w:t xml:space="preserve">Zitiervorschlag: § 138e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https://recht.nulegal.eu/gesetze/AO%201977/138e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138e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