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129 AO 1977 — Offenbare Unrichtigkeiten beim Erlass eines Verwaltungsakts</w:t>
      </w:r>
    </w:p>
    <w:p>
      <w:r>
        <w:rPr>
          <w:color w:val="555555"/>
          <w:sz w:val="18"/>
        </w:rPr>
        <w:t xml:space="preserve">Abgabenordnung</w:t>
      </w:r>
    </w:p>
    <w:p>
      <w:r>
        <w:rPr>
          <w:color w:val="555555"/>
          <w:sz w:val="18"/>
        </w:rPr>
        <w:t xml:space="preserve">Stand: 13.04.2025 (konsolidierte Textfassung, kein amtliches Inkrafttretensdatum)</w:t>
      </w:r>
    </w:p>
    <w:p>
      <w:r>
        <w:t xml:space="preserve">Die Finanzbehörde kann Schreibfehler, Rechenfehler und ähnliche offenbare Unrichtigkeiten, die beim Erlass eines Verwaltungsakts unterlaufen sind, jederzeit berichtigen. Bei berechtigtem Interesse des Beteiligten ist zu berichtigen. Wird zu einem schriftlich ergangenen Verwaltungsakt die Berichtigung begehrt, ist die Finanzbehörde berechtigt, die Vorlage des Schriftstücks zu verlangen, das berichtigt werden soll.</w:t>
      </w:r>
    </w:p>
    <w:p>
      <w:r>
        <w:rPr>
          <w:color w:val="555555"/>
          <w:sz w:val="17"/>
        </w:rPr>
        <w:t xml:space="preserve">Zitiervorschlag: § 129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