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AO 1977 — Vorlage von Wertsachen</w:t>
      </w:r>
    </w:p>
    <w:p>
      <w:r>
        <w:rPr>
          <w:color w:val="555555"/>
          <w:sz w:val="18"/>
        </w:rPr>
        <w:t xml:space="preserve">Abgabenordnung</w:t>
      </w:r>
    </w:p>
    <w:p>
      <w:r>
        <w:rPr>
          <w:color w:val="555555"/>
          <w:sz w:val="18"/>
        </w:rPr>
        <w:t xml:space="preserve">Stand: 13.04.2025 (konsolidierte Textfassung, kein amtliches Inkrafttretensdatum)</w:t>
      </w:r>
    </w:p>
    <w:p>
      <w:r>
        <w:t xml:space="preserve">(1) Der Beteiligte und andere Personen haben der Finanzbehörde auf Verlangen Wertsachen (Geld, Wertpapiere, Kostbarkeiten) vorzulegen, soweit dies erforderlich ist, um im Besteuerungsinteresse Feststellungen über ihre Beschaffenheit und ihren Wert zu treffen. § 98 Absatz 2 ist anzuwenden.</w:t>
      </w:r>
    </w:p>
    <w:p>
      <w:r>
        <w:t xml:space="preserve">(2) Die Vorlage von Wertsachen darf nicht angeordnet werden, um nach unbekannten Gegenständen zu forschen.</w:t>
      </w:r>
    </w:p>
    <w:p>
      <w:r>
        <w:rPr>
          <w:color w:val="555555"/>
          <w:sz w:val="17"/>
        </w:rPr>
        <w:t xml:space="preserve">Zitiervorschlag: § 100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