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AMbG — Beförderungspflicht</w:t>
      </w:r>
    </w:p>
    <w:p>
      <w:r>
        <w:rPr>
          <w:color w:val="555555"/>
          <w:sz w:val="18"/>
        </w:rPr>
        <w:t xml:space="preserve">Allgemeines Magnetschwebebahngesetz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Öffentliche Magnetschwebebahnunternehmen sind zur Beförderung von Personen und Reisegepäck verpflichtet, wenn</w:t>
      </w:r>
    </w:p>
    <w:p>
      <w:pPr>
        <w:ind w:left="420"/>
      </w:pPr>
      <w:r>
        <w:t xml:space="preserve">1. die Beförderungsbedingungen eingehalten werden,</w:t>
      </w:r>
    </w:p>
    <w:p>
      <w:pPr>
        <w:ind w:left="420"/>
      </w:pPr>
      <w:r>
        <w:t xml:space="preserve">2. die Beförderung mit den regelmäßig verwendeten Beförderungsmitteln möglich ist und</w:t>
      </w:r>
    </w:p>
    <w:p>
      <w:pPr>
        <w:ind w:left="420"/>
      </w:pPr>
      <w:r>
        <w:t xml:space="preserve">3. die Beförderung nicht durch Umstände verhindert wird, welche die Magnetschwebebahnunternehmen nicht abwenden und denen sie auch nicht abhelfen konnten.</w:t>
      </w:r>
    </w:p>
    <w:p>
      <w:r>
        <w:rPr>
          <w:color w:val="555555"/>
          <w:sz w:val="17"/>
        </w:rPr>
        <w:t xml:space="preserve">Zitiervorschlag: § 7 AMbG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https://recht.nulegal.eu/gesetze/AMbG/7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