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AMbG — Sicherheitsvorschriften</w:t>
      </w:r>
    </w:p>
    <w:p>
      <w:r>
        <w:rPr>
          <w:color w:val="555555"/>
          <w:sz w:val="18"/>
        </w:rPr>
        <w:t xml:space="preserve">Allgemeines Magnetschwebebahngesetz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Magnetschwebebahnunternehmen sind verpflichtet, ihren Betrieb sicher zu führen und die Magnetschwebebahnstrecken, sonstige Magnetschwebebahnanlagen, Fahrzeuge und Zubehör sicher zu bauen und in betriebssicherem Zustand zu halten.</w:t>
      </w:r>
    </w:p>
    <w:p>
      <w:r>
        <w:rPr>
          <w:color w:val="555555"/>
          <w:sz w:val="17"/>
        </w:rPr>
        <w:t xml:space="preserve">Zitiervorschlag: § 3 AMbG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https://recht.nulegal.eu/gesetze/AMbG/3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