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AMbG — Zuständigkeit für die Verfolgung und Ahndung von Ordnungswidrigkeiten</w:t>
      </w:r>
    </w:p>
    <w:p>
      <w:r>
        <w:rPr>
          <w:color w:val="555555"/>
          <w:sz w:val="18"/>
        </w:rPr>
        <w:t xml:space="preserve">Allgemeines Magnetschwebebahngesetz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Verwaltungsbehörde im Sinne des § 36 Abs. 1 Nr. 1 des Gesetzes über Ordnungswidrigkeiten ist das Eisenbahn-Bundesamt.</w:t>
      </w:r>
    </w:p>
    <w:p>
      <w:r>
        <w:rPr>
          <w:color w:val="555555"/>
          <w:sz w:val="17"/>
        </w:rPr>
        <w:t xml:space="preserve">Zitiervorschlag: § 13 AMbG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https://recht.nulegal.eu/gesetze/AMbG/13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