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AMbG — Allgemeine Verwaltungsvorschriften</w:t>
      </w:r>
    </w:p>
    <w:p>
      <w:r>
        <w:rPr>
          <w:color w:val="555555"/>
          <w:sz w:val="18"/>
        </w:rPr>
        <w:t xml:space="preserve">Allgemeines Magnetschwebebahngesetz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 und digitale Infrastruktur kann im Einvernehmen mit dem Bundesministerium für Arbeit und Soziales zur Durchführung der auf Grund des § 10 Abs. 2 erlassenen Rechtsverordnungen Allgemeine Verwaltungsvorschriften erlassen, insbesondere über die Ahndung von Ordnungswidrigkeiten.</w:t>
      </w:r>
    </w:p>
    <w:p>
      <w:r>
        <w:rPr>
          <w:color w:val="555555"/>
          <w:sz w:val="17"/>
        </w:rPr>
        <w:t xml:space="preserve">Zitiervorschlag: § 11 AMbG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