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AMWarnV</w:t>
      </w:r>
    </w:p>
    <w:p>
      <w:r>
        <w:rPr>
          <w:color w:val="555555"/>
          <w:sz w:val="18"/>
        </w:rPr>
        <w:t xml:space="preserve">Arzneimittel-Warnhinweisverordnung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12 Abs. 1 Nr. 1 und 3 des Arzneimittelgesetzes vom 24. August 1976 (BGBl. I S. 2445, 2448) wird im Einvernehmen mit dem Bundesminister für Wirtschaft mit Zustimmung des Bundesrates verordnet:</w:t>
      </w:r>
    </w:p>
    <w:p>
      <w:r>
        <w:rPr>
          <w:color w:val="555555"/>
          <w:sz w:val="17"/>
        </w:rPr>
        <w:t xml:space="preserve">Zitiervorschlag: Eingangsformel AMWarnV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https://recht.nulegal.eu/gesetze/AMWarnV/eingangsformel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