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AMWarnV — Ordnungswidrigkeiten</w:t>
      </w:r>
    </w:p>
    <w:p>
      <w:r>
        <w:rPr>
          <w:color w:val="555555"/>
          <w:sz w:val="18"/>
        </w:rPr>
        <w:t xml:space="preserve">Arzneimittel-Warnhinweisverordnung</w:t>
      </w:r>
    </w:p>
    <w:p>
      <w:r>
        <w:rPr>
          <w:color w:val="555555"/>
          <w:sz w:val="18"/>
        </w:rPr>
        <w:t xml:space="preserve">Außer Kraft: § 4 ist seit 01.06.2022 nicht mehr im AMWarnV enthalten. Angezeigt wird die letzte bekannte Fassung, Stand 10.06.2019.</w:t>
      </w:r>
    </w:p>
    <w:p>
      <w:r>
        <w:t xml:space="preserve">Wer vorsätzlich oder fahrlässig</w:t>
      </w:r>
    </w:p>
    <w:p>
      <w:pPr>
        <w:ind w:left="420"/>
      </w:pPr>
      <w:r>
        <w:t xml:space="preserve">1. entgegen § 2 Arzneimittel ohne den vorgeschriebenen Warnhinweis in den Verkehr bringt, handelt nach § 97 Abs. 2 Nr. 4 des Arzneimittelgesetzes ordnungswidrig oder</w:t>
      </w:r>
    </w:p>
    <w:p>
      <w:pPr>
        <w:ind w:left="420"/>
      </w:pPr>
      <w:r>
        <w:t xml:space="preserve">2. entgegen § 3 Abs. 1, 2 oder 3 Arzneimittel ohne den vorgeschriebenen Warnhinweis in den Verkehr bringt, handelt nach § 97 Abs. 2 Nr. 5 des Arzneimittelgesetzes ordnungswidrig.</w:t>
      </w:r>
    </w:p>
    <w:p>
      <w:r>
        <w:rPr>
          <w:color w:val="555555"/>
          <w:sz w:val="17"/>
        </w:rPr>
        <w:t xml:space="preserve">Zitiervorschlag: § 4 AMWarnV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https://recht.nulegal.eu/gesetze/AMWarnV/4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