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AMWarnV</w:t>
      </w:r>
    </w:p>
    <w:p>
      <w:r>
        <w:rPr>
          <w:color w:val="555555"/>
          <w:sz w:val="18"/>
        </w:rPr>
        <w:t xml:space="preserve">Arzneimittel-Warnhinweisverordnung</w:t>
      </w:r>
    </w:p>
    <w:p>
      <w:r>
        <w:rPr>
          <w:color w:val="555555"/>
          <w:sz w:val="18"/>
        </w:rPr>
        <w:t xml:space="preserve">Stand: 01.06.2022 (konsolidierte Textfassung, kein amtliches Inkrafttretensdatum)</w:t>
      </w:r>
    </w:p>
    <w:p>
      <w:r>
        <w:t xml:space="preserve">§ 2 tritt am 1. Juli 2023 außer Kraft.</w:t>
      </w:r>
    </w:p>
    <w:p>
      <w:r>
        <w:rPr>
          <w:color w:val="555555"/>
          <w:sz w:val="17"/>
        </w:rPr>
        <w:t xml:space="preserve">Zitiervorschlag: § 3 AMWarnV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https://recht.nulegal.eu/gesetze/AMWarnV/3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