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AMWHV — Übergangsvorschrift aus Anlass des Gesetzes zur Umsetzung der Richtlinien (EU) 2015/566 und (EU) 2015/565 zur Einfuhr und zur Kodierung menschlicher Gewebe und Gewebezubereitungen</w:t>
      </w:r>
    </w:p>
    <w:p>
      <w:r>
        <w:rPr>
          <w:color w:val="555555"/>
          <w:sz w:val="18"/>
        </w:rPr>
        <w:t xml:space="preserve">Arzneimittel- und Wirkstoffherstellungsverordnung</w:t>
      </w:r>
    </w:p>
    <w:p>
      <w:r>
        <w:rPr>
          <w:color w:val="555555"/>
          <w:sz w:val="18"/>
        </w:rPr>
        <w:t xml:space="preserve">Stand: 10.06.2019 (konsolidierte Textfassung, kein amtliches Inkrafttretensdatum)</w:t>
      </w:r>
    </w:p>
    <w:p>
      <w:r>
        <w:t xml:space="preserve">(1) Auf Gewebe, Gewebezubereitungen sowie hämatopoetische Stammzellen und Stammzellzubereitungen aus dem peripheren Blut oder aus dem Nabelschnurblut, die bereits am 29. Oktober 2016 gelagert sind und die bis zum 28. Oktober 2021 in den Verkehr gebracht werden, sind § 20 Absatz 3, § 31 Absatz 4a und 8a Satz 2, § 31 Absatz 14 und Abschnitt 5b nicht anzuwenden und sind § 34 Absatz 6 Satz 1 und Absatz 7 Satz 2, § 40 Absatz 3 Satz 4 und Absatz 4 Satz 2 und § 41 Absatz 1 in der jeweils bis zum 25. November 2016 geltenden Fassung bis zum 28. Oktober 2021 weiter anzuwenden. Sofern diese Gewebe, diese Gewebezubereitungen oder diese hämatopoetischen Stammzellen oder Stammzellzubereitungen aus dem peripheren Blut oder aus dem Nabelschnurblut nicht bis zum 28. Oktober 2021 in den Verkehr gebracht werden und bei ihnen der Einheitliche Europäische Code nicht angebracht werden kann, sind sie nach § 41b Absatz 5 Satz 4 zu kennzeichnen.</w:t>
      </w:r>
    </w:p>
    <w:p>
      <w:r>
        <w:t xml:space="preserve">(2) § 31 Absatz 8a Satz 2 und Abschnitt 5b sind ab dem 29. April 2017 anzuwenden.</w:t>
      </w:r>
    </w:p>
    <w:p>
      <w:r>
        <w:rPr>
          <w:color w:val="555555"/>
          <w:sz w:val="17"/>
        </w:rPr>
        <w:t xml:space="preserve">Zitiervorschlag: § 43 AMWHV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https://recht.nulegal.eu/gesetze/AMWHV/43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