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AMWHV — Ordnungswidrigkeiten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Ordnungswidrig im Sinne des § 97 Abs. 2 Nr. 31 des Arzneimittelgesetzes handelt, wer vorsätzlich oder fahrlässig</w:t>
      </w:r>
    </w:p>
    <w:p>
      <w:pPr>
        <w:ind w:left="420"/>
      </w:pPr>
      <w:r>
        <w:t xml:space="preserve">1. entgegen § 13 Absatz 3a Sicherheitsmerkmale teilweise oder vollständig entfernt oder überdeckt, ohne sich vorher von der Echtheit des Arzneimittels zu überzeugen oder diese durch solche ersetzt, die nicht in gleichwertiger Weise die Prüfung auf Echtheit und Unversehrtheit der äußeren Umhüllung erlauben,</w:t>
      </w:r>
    </w:p>
    <w:p>
      <w:pPr>
        <w:ind w:left="420"/>
      </w:pPr>
      <w:r>
        <w:t xml:space="preserve">2. entgegen § 16 Abs. 1 oder § 25 Abs. 1 eine Charge oder einen Wirkstoff nicht menschlicher Herkunft zum Inverkehrbringen freigibt,</w:t>
      </w:r>
    </w:p>
    <w:p>
      <w:pPr>
        <w:ind w:left="420"/>
      </w:pPr>
      <w:r>
        <w:t xml:space="preserve">3. entgegen § 17 Abs. 1 Satz 1 oder § 26 Abs. 1 Satz 1 ein dort genanntes Produkt ohne vorherige Freigabe in den Verkehr bringt,</w:t>
      </w:r>
    </w:p>
    <w:p>
      <w:pPr>
        <w:ind w:left="420"/>
      </w:pPr>
      <w:r>
        <w:t xml:space="preserve">4. entgegen § 18 Abs. 1 Satz 1 oder Abs. 2 Satz 1 nicht sicherstellt, dass ein dort genanntes Rückstellmuster aufbewahrt wird,</w:t>
      </w:r>
    </w:p>
    <w:p>
      <w:pPr>
        <w:ind w:left="420"/>
      </w:pPr>
      <w:r>
        <w:t xml:space="preserve">5. entgegen § 18 Abs. 3 Satz 1 nicht sicherstellt, dass ein dort genanntes Muster aufbewahrt wird,</w:t>
      </w:r>
    </w:p>
    <w:p>
      <w:pPr>
        <w:ind w:left="420"/>
      </w:pPr>
      <w:r>
        <w:t xml:space="preserve">5a. entgegen § 19 Absatz 2 die zuständige Behörde oder den Zulassungsinhaber nicht oder nicht rechtzeitig informiert,</w:t>
      </w:r>
    </w:p>
    <w:p>
      <w:pPr>
        <w:ind w:left="420"/>
      </w:pPr>
      <w:r>
        <w:t xml:space="preserve">6. entgegen § 30 Abs. 1 ein Mischfuttermittel verwendet,</w:t>
      </w:r>
    </w:p>
    <w:p>
      <w:pPr>
        <w:ind w:left="420"/>
      </w:pPr>
      <w:r>
        <w:t xml:space="preserve">7. entgegen § 30 Abs. 4 ein Fütterungsarzneimittel in Verkehr bringt,</w:t>
      </w:r>
    </w:p>
    <w:p>
      <w:pPr>
        <w:ind w:left="420"/>
      </w:pPr>
      <w:r>
        <w:t xml:space="preserve">8. entgegen § 30 Abs. 7 Satz 3 eine Verschreibung nicht, nicht richtig, nicht vollständig oder nicht rechtzeitig ergänzt,</w:t>
      </w:r>
    </w:p>
    <w:p>
      <w:pPr>
        <w:ind w:left="420"/>
      </w:pPr>
      <w:r>
        <w:t xml:space="preserve">9. entgegen § 30 Abs. 7 Satz 4 das Original nicht oder nicht mindestens fünf Jahre aufbewahrt oder nicht oder nicht rechtzeitig vorlegt und nicht oder nicht rechtzeitig aushändigt oder</w:t>
      </w:r>
    </w:p>
    <w:p>
      <w:pPr>
        <w:ind w:left="420"/>
      </w:pPr>
      <w:r>
        <w:t xml:space="preserve">10. entgegen § 31a Absatz 1 Satz 1 eine Aufzeichnung nicht, nicht richtig, nicht vollständig oder nicht rechtzeitig fertigt.</w:t>
      </w:r>
    </w:p>
    <w:p>
      <w:r>
        <w:rPr>
          <w:color w:val="555555"/>
          <w:sz w:val="17"/>
        </w:rPr>
        <w:t xml:space="preserve">Zitiervorschlag: § 42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