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41f AMWHV — Ergänzende Anforderungen zur Kennzeichnung</w:t>
      </w:r>
    </w:p>
    <w:p>
      <w:r>
        <w:rPr>
          <w:color w:val="555555"/>
          <w:sz w:val="18"/>
        </w:rPr>
        <w:t xml:space="preserve">Arzneimittel- und Wirkstoffherstellungsverordnung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Unbeschadet der Anforderungen des § 10 Absatz 8b des Arzneimittelgesetzes ist für Gewebezubereitungen § 36 Absatz 8 entsprechend anzuwenden.</w:t>
      </w:r>
    </w:p>
    <w:p>
      <w:r>
        <w:rPr>
          <w:color w:val="555555"/>
          <w:sz w:val="17"/>
        </w:rPr>
        <w:t xml:space="preserve">Zitiervorschlag: § 41f AMWHV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https://recht.nulegal.eu/gesetze/AMWHV/41f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