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41d AMWHV — Format des Einheitlichen Europäischen Codes</w:t>
      </w:r>
    </w:p>
    <w:p>
      <w:r>
        <w:rPr>
          <w:color w:val="555555"/>
          <w:sz w:val="18"/>
        </w:rPr>
        <w:t xml:space="preserve">Arzneimittel- und Wirkstoffherstellungsverordnung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Einheitliche Europäische Code muss die folgenden Anforderungen erfüllen:</w:t>
      </w:r>
    </w:p>
    <w:p>
      <w:pPr>
        <w:ind w:left="420"/>
      </w:pPr>
      <w:r>
        <w:t xml:space="preserve">1. der Einheitliche Europäische Code wird in visuell lesbarer Form angezeigt; ihm ist das Akronym „SEC“ vorangestellt;</w:t>
      </w:r>
    </w:p>
    <w:p>
      <w:pPr>
        <w:ind w:left="420"/>
      </w:pPr>
      <w:r>
        <w:t xml:space="preserve">2. der Einheitliche Europäische Code wird mit der Spendenkennungssequenz und der Produktkennungssequenz, getrennt durch eine Leerstelle oder in zwei aufeinanderfolgenden Zeilen, gedruckt.</w:t>
      </w:r>
    </w:p>
    <w:p>
      <w:r>
        <w:t xml:space="preserve">(2) Andere Systeme für die Kennzeichnung und Rückverfolgbarkeit können zusätzlich verwendet werden.</w:t>
      </w:r>
    </w:p>
    <w:p>
      <w:r>
        <w:rPr>
          <w:color w:val="555555"/>
          <w:sz w:val="17"/>
        </w:rPr>
        <w:t xml:space="preserve">Zitiervorschlag: § 41d AMWHV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https://recht.nulegal.eu/gesetze/AMWHV/41d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