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AMWHV — Meldung schwerwiegender unerwünschter Reaktionen und schwerwiegender Zwischenfälle und Rückruf</w:t>
      </w:r>
    </w:p>
    <w:p>
      <w:r>
        <w:rPr>
          <w:color w:val="555555"/>
          <w:sz w:val="18"/>
        </w:rPr>
        <w:t xml:space="preserve">Arzneimittel- und Wirkstoffherstellungsverordnung</w:t>
      </w:r>
    </w:p>
    <w:p>
      <w:r>
        <w:rPr>
          <w:color w:val="555555"/>
          <w:sz w:val="18"/>
        </w:rPr>
        <w:t xml:space="preserve">Stand: 10.06.2019 (konsolidierte Textfassung, kein amtliches Inkrafttretensdatum)</w:t>
      </w:r>
    </w:p>
    <w:p>
      <w:r>
        <w:t xml:space="preserve">(1) Unbeschadet des § 13c des Transplantationsgesetzes ist in Entnahmeeinrichtungen im Sinne des § 20b Abs. 1 des Arzneimittelgesetzes die verantwortliche Person nach § 20b verantwortlich, dass die betroffenen Gewebeeinrichtungen nach vorher erstellter Standardarbeitsanweisung über alle bekannt gewordenen schwerwiegenden unerwünschten Reaktionen im Sinne von § 63i Absatz 7 des Arzneimittelgesetzes und entsprechende Verdachtsfälle, die die Qualität und Sicherheit der Gewebe oder Gewebezubereitungen beeinflussen oder auf diese zurückgeführt werden können, unverzüglich in Kenntnis gesetzt werden. Absatz 3 Satz 2 gilt entsprechend.</w:t>
      </w:r>
    </w:p>
    <w:p>
      <w:r>
        <w:t xml:space="preserve">(2) Absatz 1 gilt entsprechend für Entnahmeeinrichtungen und für Gewebespenderlabore im Falle von schwerwiegenden Zwischenfällen im Sinne von § 63i Absatz 6 des Arzneimittelgesetzes und entsprechenden Verdachtsfällen, die im Zusammenhang mit der Gewinnung oder den für die Gewinnung erforderlichen Laboruntersuchungen aufgetreten sind. Absatz 3 Satz 2 gilt entsprechend.</w:t>
      </w:r>
    </w:p>
    <w:p>
      <w:r>
        <w:t xml:space="preserve">(3) In Gewebeeinrichtungen ist die verantwortliche Person nach § 20c des Arzneimittelgesetzes dafür verantwortlich, dass alle bekannt gewordenen Meldungen über schwerwiegende unerwünschte Reaktionen nach Absatz 1 nach vorher erstellter Standardarbeitsanweisung gesammelt und bewertet werden. Die Meldungen sind der zuständigen Bundesoberbehörde oder der zuständigen Behörde entsprechend § 63i Absatz 2 oder 3 des Arzneimittelgesetzes und, soweit der Gewebespender auch Organspender ist, der Koordinierungsstelle nach § 11 des Transplantationsgesetzes unverzüglich zu übermitteln. Satz 1 gilt auch für Verdachtsfälle solcher Reaktionen. Dabei muss</w:t>
      </w:r>
    </w:p>
    <w:p>
      <w:pPr>
        <w:ind w:left="420"/>
      </w:pPr>
      <w:r>
        <w:t xml:space="preserve">1. die Erstmeldung alle notwendigen Angaben gemäß Anhang III Teil A der Richtlinie 2006/86/EG in der jeweils geltenden Fassung enthalten, insbesondere zur Identifizierung der Entnahme- und der Gewebeeinrichtung, des Gewebespenderlabors, der betroffenen spendenden Person und der Spende, zum Meldedatum sowie zum Datum der Spendengewinnung und der vermuteten Reaktion, zur Art der an der vermuteten Reaktion beteiligten Gewebe oder Gewebezubereitung und der vermuteten Reaktion sowie den Grad der Wahrscheinlichkeit für einen Zusammenhang zwischen Verabreichung des Gewebes oder der Gewebezubereitung und der Empfängerreaktion sowie, sofern vorhanden, den Einheitlichen Europäischen Code gemäß § 4 Absatz 30a des Arzneimittelgesetzes,</w:t>
      </w:r>
    </w:p>
    <w:p>
      <w:pPr>
        <w:ind w:left="420"/>
      </w:pPr>
      <w:r>
        <w:t xml:space="preserve">2. die Erstmeldung gemäß Anhang III Teil B der Richtlinie 2006/86/EG in der jeweils geltenden Fassung konkretisiert werden, sobald ausreichende Erkenntnisse dafür vorliegen; insbesondere ist anzugeben, ob die Erstmeldung zu bestätigen oder ob und gegebenenfalls in welcher Weise eine Änderung der ersten Einstufung zu vermelden ist; soweit bekannt, sind dabei auch der klinische Verlauf beim Empfänger oder bei der Empfängerin und eventuelle weitere Schlussfolgerungen anzugeben, einschließlich eventueller Korrekturmaßnahmen und Maßnahmen, die in Bezug auf andere betroffene, zur Verwendung beim Menschen ausgelieferte Gewebe und Gewebezubereitungen ergriffen wurden.</w:t>
      </w:r>
    </w:p>
    <w:p>
      <w:r>
        <w:t xml:space="preserve">(4) Absatz 3 Satz 1 bis 3 findet auf schwerwiegende Zwischenfälle im Sinne von § 63i Absatz 6 des Arzneimittelgesetzes entsprechende Anwendung. Dabei muss:</w:t>
      </w:r>
    </w:p>
    <w:p>
      <w:pPr>
        <w:ind w:left="420"/>
      </w:pPr>
      <w:r>
        <w:t xml:space="preserve">1. die Erstmeldung alle notwendigen Angaben gemäß Anhang IV Teil A der Richtlinie 2006/86/EG in der jeweils geltenden Fassung enthalten, insbesondere zur Identifizierung der Entnahme- und der Gewebeeinrichtung, des Gewebespenderlabors, der betroffenen Spende, zum Meldedatum und zum Datum des schwerwiegenden Zwischenfalls, ob es sich um Defekte bei dem Gewebe oder der Gewebezubereitung, defekte Ausrüstung oder um menschliches Versagen handelt, und ob der Fehler bei der Gewinnung, der für die Gewinnung erforderlichen Laboruntersuchung, dem Transport zur be- oder verarbeitenden Gewebeeinrichtung, der Be- oder Verarbeitung, der Testung, der Freigabe, der Lagerung, dem Transport, dem Inverkehrbringen oder einer anderen Tätigkeit aufgetreten ist,</w:t>
      </w:r>
    </w:p>
    <w:p>
      <w:pPr>
        <w:ind w:left="420"/>
      </w:pPr>
      <w:r>
        <w:t xml:space="preserve">2. die Erstmeldung gemäß Anhang IV Teil B der Richtlinie 2006/86/EG in der jeweils geltenden Fassung konkretisiert werden, sobald ausreichende Erkenntnisse dafür vorliegen. Insbesondere ist die Hauptursache zu analysieren und über getroffene Korrekturmaßnahmen zu berichten.</w:t>
      </w:r>
    </w:p>
    <w:p>
      <w:r>
        <w:t xml:space="preserve">(5) Die verantwortliche Person nach § 20c des Arzneimittelgesetzes ist dafür verantwortlich, dass Gewebe und Gewebezubereitungen, die von Meldungen nach den Absätzen 1 bis 4 betroffen sind oder betroffen sein könnten, identifiziert, ausgesondert und zurückgerufen werden können. Sie hat nach schriftlich oder elektronisch festgelegtem Verfahren die Notwendigkeit eines Rückrufs zu bewerten und die nötigen Maßnahmen innerhalb vorher festgelegter Zeiträume zu koordinieren sowie die zuständige Behörde über jeden Rückruf unverzüglich zu unterrichten und dabei auch mitzuteilen, an welche Einrichtungen die Gewebe oder Gewebezubereitungen ausgeliefert wurden und welche Maßnahmen sie in Bezug auf andere möglicherweise betroffene Gewebe und Gewebezubereitungen ergriffen hat. Die Wirksamkeit der Verfahren ist regelmäßig zu überprüfen.</w:t>
      </w:r>
    </w:p>
    <w:p>
      <w:r>
        <w:t xml:space="preserve">(6) Die näheren Einzelheiten, insbesondere zu den technischen Spezifikationen und Formaten der Meldungen nach den Absätzen 3 und 4 an die zuständige Bundesoberbehörde, können in einer Bekanntmachung der zuständigen Bundesoberbehörde geregelt werden.</w:t>
      </w:r>
    </w:p>
    <w:p>
      <w:r>
        <w:t xml:space="preserve">(7) Über den Inhalt der Meldungen, die Art der Überprüfung und die dabei gewonnenen Erkenntnisse, das Ergebnis der Bewertung, die koordinierten Maßnahmen und die Benachrichtigungen sowie den Umgang mit zurückgegebenen Gewebe oder Gewebezubereitungen hat die verantwortliche Person nach § 20c des Arzneimittelgesetzes Aufzeichnungen zu führen. Satz 1 gilt für die verantwortliche Person nach § 20b des Arzneimittelgesetzes entsprechend.</w:t>
      </w:r>
    </w:p>
    <w:p>
      <w:r>
        <w:rPr>
          <w:color w:val="555555"/>
          <w:sz w:val="17"/>
        </w:rPr>
        <w:t xml:space="preserve">Zitiervorschlag: § 40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