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AMWHV — Inverkehrbringen, Einfuhr und Transport durch die Gewebeeinrichtung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Gewebe und Gewebezubereitungen dürfen nur in den Verkehr gebracht werden, wenn sie gemäß § 38 freigegeben wurden.</w:t>
      </w:r>
    </w:p>
    <w:p>
      <w:r>
        <w:t xml:space="preserve">(2) Bei einem Verbringen der Gewebezubereitungen aus einem Mitgliedstaat der Europäischen Union oder einem anderen Vertragsstaat des Abkommens über den Europäischen Wirtschaftsraum in den Geltungsbereich des Arzneimittelgesetzes muss sich die verantwortliche Person nach § 20c des Arzneimittelgesetzes vor der Freigabe nach § 38 insbesondere rückversichern, dass die Voraussetzungen nach § 21a Abs. 9 des Arzneimittelgesetzes erfüllt sind.</w:t>
      </w:r>
    </w:p>
    <w:p>
      <w:r>
        <w:t xml:space="preserve">(3) Bei einer Einfuhr von Gewebe oder Gewebezubereitungen aus Ländern, die nicht Mitgliedstaaten der Europäischen Union oder andere Vertragsstaaten des Abkommens über den Europäischen Wirtschaftsraum sind, muss sich die verantwortliche Person nach § 20c des Arzneimittelgesetzes vor der Freigabe nach § 38 insbesondere rückversichern, dass die Voraussetzungen nach § 72b Absatz 1 und 2 und § 72c Absatz 1 des Arzneimittelgesetzes erfüllt sind. § 32 Abs. 1 Satz 2 bleibt unberührt.</w:t>
      </w:r>
    </w:p>
    <w:p>
      <w:r>
        <w:t xml:space="preserve">(4) Der Transport ist nach vorher festgelegter Standardarbeitsanweisung durchzuführen. Das Verfahren muss dem Gewebe oder der Gewebezubereitung angemessen sein und die Eigenschaften des Gewebes oder der Gewebezubereitung schützen, die für ihre Verwendung erforderlich sind, sowie das Risiko einer Verunreinigung, insbesondere einer mikrobiellen Verunreinigung, des Gewebes oder der Gewebezubereitung minimieren.</w:t>
      </w:r>
    </w:p>
    <w:p>
      <w:r>
        <w:t xml:space="preserve">(5) Unbeschadet des § 7 Abs. 3 sind die Transportbehältnisse mindestens mit folgenden Angaben zu versehen:</w:t>
      </w:r>
    </w:p>
    <w:p>
      <w:pPr>
        <w:ind w:left="420"/>
      </w:pPr>
      <w:r>
        <w:t xml:space="preserve">1. „Vorsicht“ und „Gewebe und Zellen“,</w:t>
      </w:r>
    </w:p>
    <w:p>
      <w:pPr>
        <w:ind w:left="420"/>
      </w:pPr>
      <w:r>
        <w:t xml:space="preserve">2. Kennung der Gewebeeinrichtung, die die Gewebe oder Gewebezubereitungen be- oder verarbeitet hat, sowie der Einrichtung, die die Gewebe oder Gewebezubereitungen erhalten soll, einschließlich ihrer Anschriften und Telefonnummern, sowie</w:t>
      </w:r>
    </w:p>
    <w:p>
      <w:pPr>
        <w:ind w:left="420"/>
      </w:pPr>
      <w:r>
        <w:t xml:space="preserve">3. relevante Transport- und Lagerungsbedingungen sowie erforderlichenfalls weitere Vorsichtsmaßnahmen und Hinweise für die Handhabung.</w:t>
      </w:r>
    </w:p>
    <w:p>
      <w:r>
        <w:rPr>
          <w:color w:val="555555"/>
          <w:sz w:val="17"/>
        </w:rPr>
        <w:t xml:space="preserve">Zitiervorschlag: § 39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