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AMWHV — Prüfung von Gewebe und Gewebezubereitungen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Prüfung auf Einhaltung der festgelegten Spezifikation ist nach vorher erstellter Standardarbeitsanweisung (Prüfanweisung) in Übereinstimmung mit der guten fachlichen Praxis durchzuführen. § 33 Abs. 3 gilt entsprechend.</w:t>
      </w:r>
    </w:p>
    <w:p>
      <w:r>
        <w:t xml:space="preserve">(2) Bei Gewebezubereitungen, die nach § 21a des Arzneimittelgesetzes genehmigt wurden, muss die Prüfanweisung den Unterlagen über die Genehmigung entsprechen.</w:t>
      </w:r>
    </w:p>
    <w:p>
      <w:r>
        <w:t xml:space="preserve">(3) Die Prüfung ist gemäß der Prüfanweisung nach Absatz 1 durchzuführen und vollständig zu protokollieren. Alle Abweichungen im Prozess und von den Festlegungen der Spezifikation sind zu dokumentieren und gründlich zu untersuchen. Die für die Prüfung verantwortliche Person hat im Prüfprotokoll mit Datum und Unterschrift zu bestätigen, dass die Prüfung entsprechend der Prüfanweisung durchgeführt worden ist und die Ergebnisse richtig sind.</w:t>
      </w:r>
    </w:p>
    <w:p>
      <w:r>
        <w:rPr>
          <w:color w:val="555555"/>
          <w:sz w:val="17"/>
        </w:rPr>
        <w:t xml:space="preserve">Zitiervorschlag: § 37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