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AMWHV — Feststellung der Spendereignung und für die Gewinnung erforderliche Laboruntersuchungen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Feststellung der Spendereignung in der Entnahmeeinrichtung und die für die Gewinnung erforderlichen Laboruntersuchungen in dem Gewebespenderlabor sind nach vorher erstellten Standardarbeitsanweisungen in Übereinstimmung mit der guten fachlichen Praxis durchzuführen. Dabei sind insbesondere die Anforderungen nach den §§ 3 bis 6 der TPG-Gewebeverordnung zu beachten.</w:t>
      </w:r>
    </w:p>
    <w:p>
      <w:r>
        <w:t xml:space="preserve">(2) Die Standardarbeitsanweisungen nach Absatz 1 müssen bei Gewebezubereitungen, die nach § 21a des Arzneimittelgesetzes genehmigt wurden, den Genehmigungsunterlagen entsprechen.</w:t>
      </w:r>
    </w:p>
    <w:p>
      <w:r>
        <w:t xml:space="preserve">(3) Die für die Laboruntersuchungen angewandten Verfahren sind nach dem Stand von Wissenschaft und Technik zu validieren. Kritische Prüfverfahren müssen regelmäßig dahingehend bewertet werden, ob sie noch valide sind und erforderlichenfalls revalidiert werden. Die Qualität der in Satz 2 genannten Prüfverfahren ist durch regelmäßige Teilnahme an einem formalen Leistungstestsystem zu überprüfen. Für die Laboruntersuchung dürfen nur Reagenzien und andere Materialien von betriebsintern akzeptierten Lieferanten verwendet werden. Die Laborreagenzien müssen für ihre Zwecke geeignet sein und vor ihrer Verwendung von einer dafür qualifizierten Person freigegeben werden.</w:t>
      </w:r>
    </w:p>
    <w:p>
      <w:r>
        <w:t xml:space="preserve">(4) Die Laboruntersuchungen sind gemäß den Standardarbeitsanweisungen nach Absatz 1 (Prüfanweisung) durchzuführen und vollständig zu protokollieren (Prüfprotokoll). Die für die Laborergebnisse im Gewebespenderlabor verantwortliche Person hat im Prüfprotokoll mit Datum und Unterschrift zu bestätigen, dass die Laboruntersuchungen entsprechend der Prüfanweisung durchgeführt worden sind und die Prüfergebnisse richtig sind.</w:t>
      </w:r>
    </w:p>
    <w:p>
      <w:r>
        <w:rPr>
          <w:color w:val="555555"/>
          <w:sz w:val="17"/>
        </w:rPr>
        <w:t xml:space="preserve">Zitiervorschlag: § 33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