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AMWHV — Ergänzende Regelungen für Blutspendeeinrichtungen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Das QM-System nach § 3 Abs. 1 muss nach Maßgabe der im Anhang der Richtlinie 2005/62/EG der Kommission vom 30. September 2005 zur Durchführung der Richtlinie 2002/98/EG des Europäischen Parlaments und des Rates in Bezug auf gemeinschaftliche Standards und Spezifikationen für ein Qualitätssystem für Blutspendeeinrichtungen (ABl. L 256 vom 1.10.2005, S. 41) in der jeweils geltenden Fassung aufgeführten Standards eingerichtet werden und insbesondere</w:t>
      </w:r>
    </w:p>
    <w:p>
      <w:pPr>
        <w:ind w:left="420"/>
      </w:pPr>
      <w:r>
        <w:t xml:space="preserve">1. gewährleisten, dass alle kritischen Arbeitsabläufe und die Standardarbeitsverfahren in geeigneten Standardarbeitsanweisungen festgelegt werden,</w:t>
      </w:r>
    </w:p>
    <w:p>
      <w:pPr>
        <w:ind w:left="420"/>
      </w:pPr>
      <w:r>
        <w:t xml:space="preserve">2. ausreichende Verfahren zum Rückruf und zur Rückverfolgbarkeit nach Absatz 4 Satz 3 und bei Blutzubereitungen im Sinne der Richtlinie 2002/98/EG des Europäischen Parlaments und des Rates vom 27. Januar 2003 zur Festlegung von Qualitäts- und Sicherheitsstandards für die Gewinnung, Testung, Verarbeitung, Lagerung und Verteilung von menschlichem Blut und Blutbestandteilen und zur Änderung der Richtlinie 2001/83/EG (ABl. L 33 vom 8.2.2003, S. 30) sowie nach § 21a Absatz 1 Satz 3 des Arzneimittelgesetzes zur Meldung schwerwiegender Zwischenfälle, schwerwiegender unerwünschter Reaktionen und zu deren Verdachtsfällen beinhalten,</w:t>
      </w:r>
    </w:p>
    <w:p>
      <w:pPr>
        <w:ind w:left="420"/>
      </w:pPr>
      <w:r>
        <w:t xml:space="preserve">3. sicherstellen, dass verwendungsfähige Produkte oder für die Sicherheit der Produkte und das Rückverfolgungsverfahren relevante Unterlagen von einer Einrichtung, die ihre Tätigkeit beendet, an andere Einrichtungen, die über eine Erlaubnis im Sinne von § 13 des Arzneimittelgesetzes verfügen, übergeben werden,</w:t>
      </w:r>
    </w:p>
    <w:p>
      <w:pPr>
        <w:ind w:left="420"/>
      </w:pPr>
      <w:r>
        <w:t xml:space="preserve">4. durch eine mit der Qualitätssicherung beauftragte Person unterstützt werden, die insbesondere für die Genehmigung aller qualitätsbezogenen Unterlagen verantwortlich ist und in alle qualitätsbezogenen Fragen einbezogen werden soll, soweit nicht die Leitung der Herstellung oder die Leitung der Qualitätskontrolle zuständig ist,</w:t>
      </w:r>
    </w:p>
    <w:p>
      <w:pPr>
        <w:ind w:left="420"/>
      </w:pPr>
      <w:r>
        <w:t xml:space="preserve">5. von der Leitung der Betriebe und Einrichtungen regelmäßig auf Effizienz überprüft und erforderlichenfalls angepasst werden,</w:t>
      </w:r>
    </w:p>
    <w:p>
      <w:pPr>
        <w:ind w:left="420"/>
      </w:pPr>
      <w:r>
        <w:t xml:space="preserve">6. sicherstellen, dass ein schriftlicher Vertrag nach Maßgabe des Absatzes 1a geschlossen wurde,</w:t>
      </w:r>
    </w:p>
    <w:p>
      <w:pPr>
        <w:ind w:left="420"/>
      </w:pPr>
      <w:r>
        <w:t xml:space="preserve">7. sicherstellen, dass ein schriftlicher Vertrag nach Maßgabe des Absatzes 1c geschlossen wurde.</w:t>
      </w:r>
    </w:p>
    <w:p>
      <w:r>
        <w:t xml:space="preserve">Zur Auslegung der gemeinschaftlichen Standards und Spezifikationen im Anhang der Richtlinie 2005/62/EG berücksichtigen die Blutspendeeinrichtungen die Leitlinien für bewährte Verfahren des Anhangs der Empfehlung Nr. R (95) 15 des Ministerkomitees des Europarats betreffend die Zubereitung, Anwendung und Qualitätssicherung von Blutbestandteilen vom 12. Oktober 1995 in der jeweils vom Bundesministerium für Gesundheit in deutscher Sprache im Bundesanzeiger bekannt gemachten Fassung. Strengere Anforderungen, die durch Gesetz oder aufgrund eines Gesetzes bestehen, bleiben unberührt. Die mit der Qualitätssicherung beauftragte Person kann mit der sachkundigen Person nach § 14 des Arzneimittelgesetzes identisch sein, soweit diese nicht gleichzeitig Leitung der Herstellung ist. Soweit Blutprodukte oder andere Blutbestandteile aus Blutspendeeinrichtungen in Ländern bezogen werden, die nicht Mitgliedstaaten der Europäischen Union oder andere Vertragsstaaten über den Europäischen Wirtschaftsraum sind, muss sich die sachkundige Person nach § 14 des Arzneimittelgesetzes rückversichern, dass diese Blutspendeeinrichtungen über ein QM-System verfügen, das nach Standards eingerichtet ist, die den von der Europäischen Union festgelegten Standards zumindest gleichwertig sind.</w:t>
      </w:r>
    </w:p>
    <w:p>
      <w:r>
        <w:t xml:space="preserve">(1a) Für die Einfuhr von hämatopoetischen Stammzellen oder Stammzellzubereitungen aus dem peripheren Blut oder aus dem Nabelschnurblut aus Staaten, die weder Mitgliedstaaten der Europäischen Union noch andere Vertragsstaaten des Abkommens über den Europäischen Wirtschaftsraum sind, hat die einführende Einrichtung einen schriftlichen Vertrag mit dem jeweiligen Drittstaatlieferanten zu schließen, wenn dieser Tätigkeiten im Zusammenhang mit der Herstellung oder Ausfuhr in die Europäische Union von hämatopoetischen Stammzellen oder Stammzellzubereitungen aus dem peripheren Blut oder aus dem Nabelschnurblut, die in die Europäische Union eingeführt werden sollen, durchführt. In dem Vertrag sind die Qualitäts- und Sicherheitsanforderungen festzulegen, die zu erfüllen sind, damit sichergestellt ist, dass die Standards der Guten Herstellungspraxis bei den einzuführenden Stammzellen oder Stammzellzubereitungen eingehalten wurden. § 32 Absatz 2a Satz 3 und 4 ist entsprechend anzuwenden.</w:t>
      </w:r>
    </w:p>
    <w:p>
      <w:r>
        <w:t xml:space="preserve">(1b) Absatz 1 Satz 1 Nummer 6 und Absatz 1a gelten nicht für die einmalige Einfuhr nach § 72c des Arzneimittelgesetzes.</w:t>
      </w:r>
    </w:p>
    <w:p>
      <w:r>
        <w:t xml:space="preserve">(1c) Abweichend von § 20 Absatz 1 Satz 2 kann die Aufbewahrung der Aufzeichnungen nach § 20 Absatz 2 auch außerhalb der von der Erlaubnis nach den §§ 13 oder 72 oder 72c Absatz 4 des Arzneimittelgesetzes erfassten Räumen aufbewahrt werden, und zwar in geeigneten Räumen im Geltungsbereich des Arzneimittelgesetzes eines darauf spezialisierten gewerblichen Anbieters (externes Archiv). Die Zugriffsberechtigung zu den Aufzeichnungen nach Satz 1 ist durch geeignete Maßnahmen auf dazu befugte Personen einzuschränken. Der Erlaubnisinhaber hat einen schriftlichen Vertrag mit dem Betreiber des externen Archives zu schließen. In dem Vertrag sind die technischen und organisatorischen Maßnahmen festzulegen, um die Aufzeichnungen während der gesetzlichen Aufbewahrungsfristen vor Umwelteinflüssen sowie dem unbefugten Zugriff Dritter zu schützen.</w:t>
      </w:r>
    </w:p>
    <w:p>
      <w:r>
        <w:t xml:space="preserve">(2) Abweichend von § 4 Abs. 2 Satz 1 sind in Blutspendeeinrichtungen Arbeitsplatzbeschreibungen für das gesamte Personal vorzuhalten, dessen Tätigkeiten Auswirkungen auf die Qualität der Blutzubereitungen haben können.</w:t>
      </w:r>
    </w:p>
    <w:p>
      <w:r>
        <w:t xml:space="preserve">(3) Die allgemeinen Anforderungen an Betriebsräume und Ausrüstungen in § 5 sind auch auf zeitweilige oder bewegliche Einrichtungen, die sich außerhalb, aber unter der Kontrolle der Blutspendeeinrichtung befinden (mobiler Standort), anzuwenden. Die Besonderheiten der Betriebsräume, einschließlich mobiler Standorte, richten sich nach den jeweiligen Tätigkeiten. Insbesondere müssen</w:t>
      </w:r>
    </w:p>
    <w:p>
      <w:pPr>
        <w:ind w:left="420"/>
      </w:pPr>
      <w:r>
        <w:t xml:space="preserve">1. der Bereich für die Feststellung der Eignung und Tauglichkeit der spendenden Personen eine ausreichende Vertraulichkeit sicherstellen und von den Spendenverarbeitungsbereichen abgetrennt sein,</w:t>
      </w:r>
    </w:p>
    <w:p>
      <w:pPr>
        <w:ind w:left="420"/>
      </w:pPr>
      <w:r>
        <w:t xml:space="preserve">2. der Spendenbereich die sichere Entnahme sowie eine gegebenenfalls erforderliche Behandlung der spendenden Person ermöglichen,</w:t>
      </w:r>
    </w:p>
    <w:p>
      <w:pPr>
        <w:ind w:left="420"/>
      </w:pPr>
      <w:r>
        <w:t xml:space="preserve">3. der Laborbereich vom Bereich für die Feststellung der Eignung und Tauglichkeit der spendenden Person sowie vom Bereich für die Spendenverarbeitung abgetrennt und nur Befugten zugänglich sein,</w:t>
      </w:r>
    </w:p>
    <w:p>
      <w:pPr>
        <w:ind w:left="420"/>
      </w:pPr>
      <w:r>
        <w:t xml:space="preserve">4. im Lagerbereich eine getrennte Lagerung von Produkten mit unterschiedlichem Status oder von Produkten, die nach besonderen Kriterien hergestellt wurden, sichergestellt und Vorkehrungen getroffen werden für den Fall des Versagens der Ausrüstung oder der Energieversorgung,</w:t>
      </w:r>
    </w:p>
    <w:p>
      <w:pPr>
        <w:ind w:left="420"/>
      </w:pPr>
      <w:r>
        <w:t xml:space="preserve">5. abgetrennte Bereiche für die Abfallentsorgung potenziell infektiöser Materialien vorhanden sein.</w:t>
      </w:r>
    </w:p>
    <w:p>
      <w:r>
        <w:t xml:space="preserve">(4) Die Herstellungsanweisung nach § 13 Abs. 1 muss Einzelheiten aufweisen zur spendenden Person und zur Spende sowie der damit in Zusammenhang stehenden Dokumentation. Sie muss mindestens Festlegungen, die bei jeder Spende einzuhalten sind, enthalten über die</w:t>
      </w:r>
    </w:p>
    <w:p>
      <w:pPr>
        <w:ind w:left="420"/>
      </w:pPr>
      <w:r>
        <w:t xml:space="preserve">1. Information der potenziell spendenden oder spendenden Person oder von dieser zu erhaltenden Informationen nach Maßgabe von Anhang II der Richtlinie 2004/33/EG der Kommission vom 22. März 2004 zur Durchführung der Richtlinie 2002/98/EG des Europäischen Parlaments und des Rates hinsichtlich bestimmter technischer Anforderungen für Blut und Blutbestandteile (ABl. L 91 vom 30.3.2004, S. 25), die durch die Durchführungsrichtlinie 2011/38/EU (ABl. L 97 vom 12.4.2011, S. 28) geändert worden ist, in der jeweils geltenden Fassung,</w:t>
      </w:r>
    </w:p>
    <w:p>
      <w:pPr>
        <w:ind w:left="420"/>
      </w:pPr>
      <w:r>
        <w:t xml:space="preserve">2. Art und Weise einer sicheren Identifizierung der spendenden Person bei der Feststellung ihrer Eignung und Tauglichkeit sowie vor der Proben- und Spendenentnahme,</w:t>
      </w:r>
    </w:p>
    <w:p>
      <w:pPr>
        <w:ind w:left="420"/>
      </w:pPr>
      <w:r>
        <w:t xml:space="preserve">3. Feststellung der Eignung und Tauglichkeit der spendenden Person nach Maßgabe der in Anhang III der Richtlinie 2004/33/EG festgelegten Eignungs- und Ausschlusskriterien,</w:t>
      </w:r>
    </w:p>
    <w:p>
      <w:pPr>
        <w:ind w:left="420"/>
      </w:pPr>
      <w:r>
        <w:t xml:space="preserve">4. Entnahme der Spenden und, soweit zutreffend, deren Weiterverarbeitung, einschließlich der Festlegung des Zeitraums bis zur Weiterverarbeitung,</w:t>
      </w:r>
    </w:p>
    <w:p>
      <w:pPr>
        <w:ind w:left="420"/>
      </w:pPr>
      <w:r>
        <w:t xml:space="preserve">5. Anforderungen an die Spenden-, Verarbeitungs- und Endproduktbehältnisse,</w:t>
      </w:r>
    </w:p>
    <w:p>
      <w:pPr>
        <w:ind w:left="420"/>
      </w:pPr>
      <w:r>
        <w:t xml:space="preserve">6. Kennzeichnung von Unterlagen und Behältnissen, einschließlich der spenderspezifischen Nummern oder Kennzeichnungscodes der Spender und</w:t>
      </w:r>
    </w:p>
    <w:p>
      <w:pPr>
        <w:ind w:left="420"/>
      </w:pPr>
      <w:r>
        <w:t xml:space="preserve">7. Bedingungen der Lagerung und des Transports der Blutzubereitungen oder anderen Blutbestandteile nach Maßgabe von Anhang IV der Richtlinie 2004/33/EG.</w:t>
      </w:r>
    </w:p>
    <w:p>
      <w:r>
        <w:t xml:space="preserve">Unbeschadet des § 13 Abs. 7 muss das Herstellungsprotokoll eine vollständige Rückverfolgbarkeit sicherstellen zwischen spendender Person und Spende sowie daraus gewonnener Zwischenprodukte und Blutzubereitungen einschließlich der für die Gewinnung und Verarbeitung eingesetzten sterilen Einmalsysteme und deren Chargenbezeichnungen sowie der verwendeten Geräte und der aus der Probe erhaltenen Testergebnisse, unabhängig vom Verwendungszweck der Spenden. Der Spendenentnahme- und Verarbeitungsprozess ist angemessen mikrobiologisch zu überwachen. Für die Gewinnung von Eigenblutspenden findet darüber hinaus der allgemein anerkannte Stand der medizinischen Wissenschaft und Technik Anwendung.</w:t>
      </w:r>
    </w:p>
    <w:p>
      <w:r>
        <w:t xml:space="preserve">(4a) Bei hämatopoetischen Stammzellen aus dem peripheren Blut oder aus dem Nabelschnurblut ist über die Entnahme ein Entnahmebericht zu erstellen. § 34 Absatz 7 Satz 2 bis 6 ist entsprechend anzuwenden.</w:t>
      </w:r>
    </w:p>
    <w:p>
      <w:r>
        <w:t xml:space="preserve">(5) Die Prüfanweisung nach § 14 Abs. 1 muss den Besonderheiten der Blutspenden und Blutzubereitungen Rechnung tragen und insbesondere festlegen, dass</w:t>
      </w:r>
    </w:p>
    <w:p>
      <w:pPr>
        <w:ind w:left="420"/>
      </w:pPr>
      <w:r>
        <w:t xml:space="preserve">1. die Entnahme der Laborproben in geeigneten, mit spenderspezifischen Nummern oder Kennzeichnungscodes gekennzeichneten Behältnissen zum Zeitpunkt der Spende erfolgt, die Laborproben vor der Testung ordnungsgemäß gelagert werden und die Testung innerhalb eines vorgegebenen Zeitraums durchzuführen ist,</w:t>
      </w:r>
    </w:p>
    <w:p>
      <w:pPr>
        <w:ind w:left="420"/>
      </w:pPr>
      <w:r>
        <w:t xml:space="preserve">2. jeder Spender anlässlich jeder Spende nach dem Stand von Wissenschaft und Technik mindestens auf Hepatitis B, Hepatitis C und Humanes Immundefektvirus (HIV) zu testen ist,</w:t>
      </w:r>
    </w:p>
    <w:p>
      <w:pPr>
        <w:ind w:left="420"/>
      </w:pPr>
      <w:r>
        <w:t xml:space="preserve">3. zusätzlich die AB0-Gruppe, soweit es sich nicht um Plasma zur Fraktionierung handelt, und im Falle von Zubereitungen aus Erythrozyten die Rhesusformel oder im Falle von Zubereitungen aus Thrombozyten die Rh-D-Gruppe bei jeder Spende festzustellen ist,</w:t>
      </w:r>
    </w:p>
    <w:p>
      <w:pPr>
        <w:ind w:left="420"/>
      </w:pPr>
      <w:r>
        <w:t xml:space="preserve">4. bei blutgruppenserologischen Untersuchungen auch Verfahren zur Testung spezifischer Spendergruppen vorzusehen sind und</w:t>
      </w:r>
    </w:p>
    <w:p>
      <w:pPr>
        <w:ind w:left="420"/>
      </w:pPr>
      <w:r>
        <w:t xml:space="preserve">5. die Blutzubereitungen die Qualitätsanforderungen nach Maßgabe von Anhang V der Richtlinie 2004/33/EG erfüllen müssen.</w:t>
      </w:r>
    </w:p>
    <w:p>
      <w:r>
        <w:t xml:space="preserve">Von den Spezifikationen abweichende Ergebnisse, insbesondere bei einem wiederholt reaktiven oder positiven Testergebnis nach Satz 1 Nummer 2 sind umgehend aufzuklären und entsprechende Maßnahmen zur Bestätigung der Ergebnisse und zum Ausschluss der Verwendung der betroffenen Produkte zu ergreifen. Für die Prüfung von Eigenblutspenden findet darüber hinaus der allgemein anerkannte Stand der medizinischen Wissenschaft und Technik Anwendung.</w:t>
      </w:r>
    </w:p>
    <w:p>
      <w:r>
        <w:t xml:space="preserve">(6) Für die Prüfung der Spenden und der Spenderproben dürfen nur Laborreagenzien und andere Materialien von betriebsintern akzeptierten Lieferanten verwendet werden. Die Laborreagenzien müssen für ihre Zwecke geeignet sein und vor ihrer Verwendung von einer dafür qualifizierten Person freigegeben werden. Die Qualität der Prüfverfahren ist regelmäßig durch Teilnahme an einem formalen Leistungstestsystem zu überprüfen.</w:t>
      </w:r>
    </w:p>
    <w:p>
      <w:r>
        <w:t xml:space="preserve">(7) Während aller Herstellungsstadien müssen aus der Kennzeichnung der jeweilige Status des Produkts und die Rückverfolgbarkeit zur spendenden Person eindeutig hervorgehen, soweit dies nicht durch andere Maßnahmen sichergestellt wird.</w:t>
      </w:r>
    </w:p>
    <w:p>
      <w:r>
        <w:t xml:space="preserve">(8) Zubereitungen aus Frischplasma und aus Blutzellen müssen, soweit sie nach § 21 Abs. 2 Nr. 1a des Arzneimittelgesetzes nicht der Zulassung bedürfen, der Kennzeichnung nach § 10 Abs. Absatz 8a des Arzneimittelgesetzes entsprechen. Eigenblutspenden müssen eindeutig als solche gekennzeichnet werden.</w:t>
      </w:r>
    </w:p>
    <w:p>
      <w:r>
        <w:t xml:space="preserve">(8a) Unbeschadet der Anforderungen des § 10 Absatz 8a des Arzneimittelgesetzes ist für hämatopoetische Stammzellzubereitungen aus dem peripheren Blut oder aus dem Nabelschnurblut § 36 Absatz 8 entsprechend anzuwenden.</w:t>
      </w:r>
    </w:p>
    <w:p>
      <w:r>
        <w:t xml:space="preserve">(9) Vor der Freigabe nach § 16 sind die Produkte verwaltungsmäßig und physisch von freigegebenen Produkten getrennt zu lagern. Eigenblutspenden müssen getrennt gelagert werden. Produkte, die von den Spezifikationen abweichen, dürfen nicht freigegeben werden. Sofern ein Produkt aufgrund der Testergebnisse nicht freigegeben werden kann, ist sicherzustellen, dass alle aus der gleichen und, soweit zutreffend, aus früheren Spenden dieser spendenden Person erhaltenen Produkte identifiziert und abgesondert werden; die Maßnahmen sind zu dokumentieren. Satz 4 zweiter Halbsatz findet entsprechende Anwendung, wenn nachträgliche Kenntnisse über fehlerhafte, infektiöse oder potenziell infektiöse Produkte erhalten werden, die bereits in den Verkehr gebracht wurden.</w:t>
      </w:r>
    </w:p>
    <w:p>
      <w:r>
        <w:t xml:space="preserve">(10) Abweichend von § 16 kann in Fällen kurzfristiger Verhinderung und wenn dies aus medizinischen Gründen dringend erforderlich ist, anstelle der sachkundigen Person nach § 14 des Arzneimittelgesetzes eine beauftragte Person, die über ausreichende Ausbildung und Kenntnisse verfügt, die Blutzubereitungen zur unmittelbaren Anwendung bei Menschen vorläufig für das Inverkehrbringen freigeben und den Eintrag nach § 17 Abs. 5 vornehmen. Diese vorläufige Freigabe und der vorläufige Eintrag nach § 17 Abs. 5 sind nachträglich der sachkundigen Person, die auch in diesem Falle neben der beauftragten Person die Verantwortung für die Freigabe trägt, vorzulegen und von dieser schriftlich oder elektronisch zu bestätigen.</w:t>
      </w:r>
    </w:p>
    <w:p>
      <w:r>
        <w:t xml:space="preserve">(11) § 18 findet auf Zubereitungen aus Blutzellen oder Frischplasma keine Anwendung. Die sachkundige Person nach § 14 des Arzneimittelgesetzes hat als Rückstellmuster Nachuntersuchungsproben der Spender in ausreichender Menge zum Zwecke einer gegebenenfalls erforderlichen analytischen Nachtestung aufzubewahren.</w:t>
      </w:r>
    </w:p>
    <w:p>
      <w:r>
        <w:t xml:space="preserve">(12) Unbeschadet des § 19 ist der oder die Stufenplanbeauftragte dafür verantwortlich, dass alle Meldungen über schwerwiegende unerwünschte Reaktionen nach schriftlich oder elektronisch festgelegtem Verfahren gesammelt, bewertet und der zuständigen Bundesoberbehörde oder der zuständigen Behörde entsprechend § 63i Absatz 2 oder Absatz 3 des Arzneimittelgesetzes gemeldet werden. Satz 1 gilt auch für Verdachtsfälle solcher Reaktionen. Dabei muss</w:t>
      </w:r>
    </w:p>
    <w:p>
      <w:pPr>
        <w:ind w:left="420"/>
      </w:pPr>
      <w:r>
        <w:t xml:space="preserve">1. die Erstmeldung alle notwendigen Angaben enthalten, insbesondere zur Identifizierung der Blutspendeeinrichtung, der betroffenen spendenden Person und der Spende, zum Meldedatum und der Spende, zum Transfusionsdatum, zur Art der vermuteten Reaktion nach Maßgabe von Anhang II der Richtlinie 2005/61/EG der Kommission vom 30. September 2005 zur Durchführung der Richtlinie 2002/98/EG des Europäischen Parlaments und des Rates in Bezug auf die Anforderungen an die Rückverfolgbarkeit und die Meldung ernster Zwischenfälle und ernster unerwünschter Reaktionen (ABl. L 256 vom 1.10.2005, S. 32) in der jeweils geltenden Fassung; sie muss auch den Grad der Wahrscheinlichkeit für einen Zusammenhang zwischen Verabreichung der Blutzubereitung und der Empfängerreaktion (Zuordnungsstufe) angeben,</w:t>
      </w:r>
    </w:p>
    <w:p>
      <w:pPr>
        <w:ind w:left="420"/>
      </w:pPr>
      <w:r>
        <w:t xml:space="preserve">2. die Erstmeldung konkretisiert werden, sobald ausreichende Erkenntnisse dafür vorliegen; insbesondere ist anzugeben, ob die Erstmeldung und ihre Zuordnungsstufe hinsichtlich der Wahrscheinlichkeit für einen Zusammenhang zu bestätigen oder ob und gegebenenfalls in welcher Weise eine Änderung der ersten Einstufung zu vermelden ist; soweit bekannt, ist dabei auch der klinische Verlauf beim Empfänger anzugeben. Bei der Zuordnungsstufe soll insbesondere unterschieden werden, ob ein Zusammenhang ausgeschlossen, unwahrscheinlich, möglich, wahrscheinlich oder sicher ist oder nicht bewertet werden kann.</w:t>
      </w:r>
    </w:p>
    <w:p>
      <w:r>
        <w:t xml:space="preserve">Die näheren Einzelheiten, insbesondere zu den technischen Spezifikationen und Formaten der Meldungen an die zuständige Bundesoberbehörde, können in einer Bekanntmachung der zuständigen Bundesoberbehörde geregelt werden.</w:t>
      </w:r>
    </w:p>
    <w:p>
      <w:r>
        <w:t xml:space="preserve">(13) Absatz 12 gilt entsprechend für schwerwiegende Zwischenfälle:</w:t>
      </w:r>
    </w:p>
    <w:p>
      <w:pPr>
        <w:ind w:left="420"/>
      </w:pPr>
      <w:r>
        <w:t xml:space="preserve">1. Die Erstmeldung muss alle notwendigen Angaben enthalten, insbesondere, ob es sich um Produktfehler, defekte Ausrüstung oder um menschliches Versagen handelt, und ob der Fehler bei der Gewinnung, Verarbeitung, Testung, Lagerung, dem Transport, dem Inverkehrbringen oder einer anderen Tätigkeit oder bei Materialien, die bei der Gewinnung, Testung oder Verarbeitung eingesetzt wurden, aufgetreten ist.</w:t>
      </w:r>
    </w:p>
    <w:p>
      <w:pPr>
        <w:ind w:left="420"/>
      </w:pPr>
      <w:r>
        <w:t xml:space="preserve">2. Die Erstmeldung ist zu konkretisieren, sobald ausreichende Erkenntnisse dafür vorliegen. Insbesondere ist die Hauptursache zu analysieren und über getroffene Korrekturmaßnahmen zu berichten.</w:t>
      </w:r>
    </w:p>
    <w:p>
      <w:r>
        <w:t xml:space="preserve">(14) (weggefallen)</w:t>
      </w:r>
    </w:p>
    <w:p>
      <w:r>
        <w:rPr>
          <w:color w:val="555555"/>
          <w:sz w:val="17"/>
        </w:rPr>
        <w:t xml:space="preserve">Zitiervorschlag: § 31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