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AMWHV — Aufbewahrung der Dokumentation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Alle Aufzeichnungen über den Erwerb, die Herstellung einschließlich der Freigabe, die Laborkontrollen, die Lagerung, das Verbringen in den oder aus dem Geltungsbereich des Arzneimittelgesetzes, die Einfuhr oder Ausfuhr und das Inverkehrbringen einschließlich der Auslieferung sowie über die Tierhaltung und die Aufzeichnungen nach § 28 sind vollständig und mindestens ein Jahr über den Ablauf des Verfalldatums hinaus, jedoch nicht weniger als fünf Jahre aufzubewahren.</w:t>
      </w:r>
    </w:p>
    <w:p>
      <w:r>
        <w:t xml:space="preserve">(2) Abweichend von Absatz 1 sind die Aufzeichnungen bei Wirkstoffen, für die anstelle des Verfalldatums ein Nachtestdatum festgelegt wurde, mindestens drei Jahre über das vollständige Inverkehrbringen der Charge durch den Hersteller hinaus aufzubewahren.</w:t>
      </w:r>
    </w:p>
    <w:p>
      <w:r>
        <w:t xml:space="preserve">(3) Zum Zwecke der Rückverfolgbarkeit der im Geltungsbereich des Arzneimittelgesetzes hergestellten oder in den oder aus dem Geltungsbereich des Gesetzes verbrachten oder der in den Geltungsbereich des Gesetzes eingeführten oder ausgeführten Wirkstoffe oder Zwischenprodukte sind zusätzlich zu allen Analysenzertifikaten, einschließlich derer des Originalherstellers, Unterlagen aufzubewahren, die mindestens Angaben aufweisen über:</w:t>
      </w:r>
    </w:p>
    <w:p>
      <w:pPr>
        <w:ind w:left="420"/>
      </w:pPr>
      <w:r>
        <w:t xml:space="preserve">1. die Bezeichnung des Wirkstoffs oder Zwischenprodukts, einschließlich der Chargenbezeichnung des Originalherstellers, und, soweit zutreffend, weiterer Hersteller,</w:t>
      </w:r>
    </w:p>
    <w:p>
      <w:pPr>
        <w:ind w:left="420"/>
      </w:pPr>
      <w:r>
        <w:t xml:space="preserve">2. den Namen oder die Firma und die Anschrift des Originalherstellers, und, soweit zutreffend, weiterer Hersteller,</w:t>
      </w:r>
    </w:p>
    <w:p>
      <w:pPr>
        <w:ind w:left="420"/>
      </w:pPr>
      <w:r>
        <w:t xml:space="preserve">3. den Transport und Vertrieb,</w:t>
      </w:r>
    </w:p>
    <w:p>
      <w:pPr>
        <w:ind w:left="420"/>
      </w:pPr>
      <w:r>
        <w:t xml:space="preserve">4. den Namen oder die Firma und die Anschrift der Empfänger.</w:t>
      </w:r>
    </w:p>
    <w:p>
      <w:r>
        <w:rPr>
          <w:color w:val="555555"/>
          <w:sz w:val="17"/>
        </w:rPr>
        <w:t xml:space="preserve">Zitiervorschlag: § 29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