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AMWHV — Rückstellmuster</w:t>
      </w:r>
    </w:p>
    <w:p>
      <w:r>
        <w:rPr>
          <w:color w:val="555555"/>
          <w:sz w:val="18"/>
        </w:rPr>
        <w:t xml:space="preserve">Arzneimittel- und Wirkstoffherstellungsverordnung</w:t>
      </w:r>
    </w:p>
    <w:p>
      <w:r>
        <w:rPr>
          <w:color w:val="555555"/>
          <w:sz w:val="18"/>
        </w:rPr>
        <w:t xml:space="preserve">Stand: 22.08.2019 (konsolidierte Textfassung, kein amtliches Inkrafttretensdatum)</w:t>
      </w:r>
    </w:p>
    <w:p>
      <w:r>
        <w:t xml:space="preserve">(1) Von jeder Wirkstoffcharge sind ordnungsgemäß gekennzeichnete Muster in einem geeigneten Behältnis und in ausreichender Menge aufzubewahren. Satz 1 gilt auch in den Fällen des ausschließlichen Umfüllens, Abfüllens, Abpackens und Kennzeichnens. Bei Wirkstoffen, deren Herstellung für den Einzelfall oder in kleinen Mengen erfolgt oder deren Lagerung besondere Probleme bereitet, kann die zuständige Behörde Ausnahmen über die Muster und ihre Aufbewahrung zulassen.</w:t>
      </w:r>
    </w:p>
    <w:p>
      <w:r>
        <w:t xml:space="preserve">(2) Soweit für den Wirkstoff ein Verfalldatum festgelegt worden ist, sind die Muster nach Absatz 1 mindestens ein Jahr über den Ablauf des Verfalldatums, aber mindestens drei Jahre über den vollständigen Vertrieb der Charge hinaus aufzubewahren.</w:t>
      </w:r>
    </w:p>
    <w:p>
      <w:r>
        <w:t xml:space="preserve">(3) Von Wirkstoffen, für die anstelle des Verfalldatums ein Nachtestdatum festgelegt wurde, sind Muster gemäß Absatz 1 mindestens drei Jahre über den vollständigen Vertrieb der Charge hinaus aufzubewahren.</w:t>
      </w:r>
    </w:p>
    <w:p>
      <w:r>
        <w:t xml:space="preserve">(4) Die Aufbewahrung der Rückstellmuster nach Absatz 1 muss im Geltungsbereich des Arzneimittelgesetzes erfolgen. Von Satz 1 kann abgesehen werden, wenn die Rückstellmuster in einem Mitgliedstaat der Europäischen Union oder in einem anderen Vertragsstaat des Abkommens über den Europäischen Wirtschaftsraum gelagert werden.</w:t>
      </w:r>
    </w:p>
    <w:p>
      <w:r>
        <w:rPr>
          <w:color w:val="555555"/>
          <w:sz w:val="17"/>
        </w:rPr>
        <w:t xml:space="preserve">Zitiervorschlag: § 27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