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AMWHV — Inverkehrbringen und Einfuhr</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Wirkstoffe oder Zwischenprodukte, die im Geltungsbereich des Arzneimittelgesetzes hergestellt und geprüft wurden oder die in den Geltungsbereich des Arzneimittelgesetzes verbracht oder eingeführt wurden, dürfen nur in den Verkehr gebracht werden, wenn sie gemäß § 25 freigegeben wurden. Die §§ 72 und 72a Abs. 1 und 2 des Arzneimittelgesetzes bleiben unberührt.</w:t>
      </w:r>
    </w:p>
    <w:p>
      <w:r>
        <w:t xml:space="preserve">(2) Alle qualitäts- oder zulassungsbezogenen Informationen, einschließlich der Analysenzertifikate und des Namens oder der Firma und der Anschrift des Originalherstellers sind dem Empfänger des Wirkstoffs oder Zwischenprodukts mitzuteilen. Soweit wesentliche, insbesondere sicherheitsrelevante Informationen über den Wirkstoff oder die Zwischenprodukte vom Empfänger erhalten werden, sind diese an den Wirkstoff- oder Zwischenprodukthersteller unverzüglich weiterzuleiten.</w:t>
      </w:r>
    </w:p>
    <w:p>
      <w:r>
        <w:rPr>
          <w:color w:val="555555"/>
          <w:sz w:val="17"/>
        </w:rPr>
        <w:t xml:space="preserve">Zitiervorschlag: § 26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