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AMWHV — Freigabe zum Inverkehrbringen</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Die Freigabe zum Inverkehrbringen darf nur nach vorher erstellten schriftlichen oder elektronischen Anweisungen und Verfahrensbeschreibungen nach Absatz 3 oder Absatz 4 Satz 1 von Personen vorgenommen werden, die mit den Produkten und mit den für deren Herstellung und Prüfung eingesetzten Verfahren vertraut sind.</w:t>
      </w:r>
    </w:p>
    <w:p>
      <w:r>
        <w:t xml:space="preserve">(2) In Betrieben und Einrichtungen, die der Erlaubnispflicht nach § 13 oder § 72 des Arzneimittelgesetzes unterliegen, ist die sachkundige Person nach § 14 des Arzneimittelgesetzes verantwortlich für die Freigabe derjenigen Produkte, die die Erlaubnispflicht auslösen; § 16 Abs. 1 und 4 bis 7 findet entsprechende Anwendung. Im Übrigen ist für die Freigabe die Qualitätssicherungseinheit verantwortlich; die zur Freigabe berechtigten Personen sind schriftlich oder elektronisch festzulegen.</w:t>
      </w:r>
    </w:p>
    <w:p>
      <w:r>
        <w:t xml:space="preserve">(3) Die Freigabe nach Absatz 1 darf nur erfolgen, wenn das Herstellungsprotokoll und das Prüfprotokoll ordnungsgemäß unterzeichnet sind, zusätzlich zu den analytischen Ergebnissen essenzielle Informationen wie die Herstellungsbedingungen und die Ergebnisse der Inprozesskontrollen berücksichtigt wurden und die Überprüfung der Herstellungs- und Prüfunterlagen die Übereinstimmung der Produkte mit ihren Spezifikationen bestätigt hat.</w:t>
      </w:r>
    </w:p>
    <w:p>
      <w:r>
        <w:t xml:space="preserve">(4) Bei Zwischenprodukten und Wirkstoffen, die ausschließlich umgefüllt, abgefüllt, abgepackt oder gekennzeichnet werden, darf die Freigabe nach Absatz 1 nur erfolgen, wenn</w:t>
      </w:r>
    </w:p>
    <w:p>
      <w:pPr>
        <w:ind w:left="420"/>
      </w:pPr>
      <w:r>
        <w:t xml:space="preserve">1. mindestens die Identität dieser Produkte festgestellt wurde und darüber ein ordnungsgemäß unterzeichnetes Prüfprotokoll vorliegt,</w:t>
      </w:r>
    </w:p>
    <w:p>
      <w:pPr>
        <w:ind w:left="420"/>
      </w:pPr>
      <w:r>
        <w:t xml:space="preserve">2. über das Umfüllen, Abfüllen, Abpacken und Kennzeichnen ein ordnungsgemäß unterzeichnetes Herstellungsprotokoll vorliegt,</w:t>
      </w:r>
    </w:p>
    <w:p>
      <w:pPr>
        <w:ind w:left="420"/>
      </w:pPr>
      <w:r>
        <w:t xml:space="preserve">3. alle erforderlichen qualitäts- oder zulassungsbezogenen Informationen vom Originalhersteller und, sofern zutreffend, weiterer Hersteller der Wirkstoffe oder Zwischenprodukte einschließlich der Analysenzertifikate vorliegen,</w:t>
      </w:r>
    </w:p>
    <w:p>
      <w:pPr>
        <w:ind w:left="420"/>
      </w:pPr>
      <w:r>
        <w:t xml:space="preserve">4. ausreichende Kenntnisse über den Originalhersteller und, sofern zutreffend, weiterer Hersteller und deren Qualitätsmanagementsystem vorliegen und</w:t>
      </w:r>
    </w:p>
    <w:p>
      <w:pPr>
        <w:ind w:left="420"/>
      </w:pPr>
      <w:r>
        <w:t xml:space="preserve">5. die Rückverfolgbarkeit bis zum Originalhersteller des Produkts gewährleistet wird.</w:t>
      </w:r>
    </w:p>
    <w:p>
      <w:r>
        <w:t xml:space="preserve">Wenn die Zwischenprodukte oder Wirkstoffe in Primärbehältnisse anderen als des ursprünglichen Materials gefüllt oder gepackt werden, ist das vom Originalhersteller vorgegebene Verfalldatum oder das Nachtestdatum anhand von zusätzlichen Stabilitätsdaten zu überprüfen und erforderlichenfalls entsprechend anzupassen. Bei Zwischenprodukten und Wirkstoffen, die ausschließlich freigegeben werden, darf die Freigabe nach Absatz 1 nur erfolgen, wenn die Anforderungen von Satz 1 Nr. 3 bis 5 erfüllt sind. Bei einer ausschließlichen Freigabe ist eine zusätzliche Kennzeichnung nach § 24 Absatz 3 Satz 1 nicht erforderlich.</w:t>
      </w:r>
    </w:p>
    <w:p>
      <w:r>
        <w:rPr>
          <w:color w:val="555555"/>
          <w:sz w:val="17"/>
        </w:rPr>
        <w:t xml:space="preserve">Zitiervorschlag: § 25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