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AMWHV — Kennzeichnung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Die Kennzeichnung der Zwischenprodukte und Wirkstoffe ist nach vorher erstellten schriftlichen oder elektronischen Anweisungen und Verfahrensbeschreibungen und in Übereinstimmung mit der Guten Herstellungspraxis durchzuführen. Bei der nach § 13 des Arzneimittelgesetzes erlaubnispflichtigen Wirkstoffherstellung ist die Leitung der Herstellung verantwortlich für die Genehmigung der Anweisung und Verfahrensbeschreibung. In anderen Betrieben und Einrichtungen ist es die Qualitätssicherungseinheit.</w:t>
      </w:r>
    </w:p>
    <w:p>
      <w:r>
        <w:t xml:space="preserve">(2) Zwischenprodukte und Wirkstoffe sind vor ihrem Inverkehrbringen auf ihren Behältnissen und, soweit verwendet, ihren äußeren Umhüllungen in gut lesbarer Schrift und auf dauerhafte Weise mindestens wie folgt zu kennzeichnen:</w:t>
      </w:r>
    </w:p>
    <w:p>
      <w:pPr>
        <w:ind w:left="420"/>
      </w:pPr>
      <w:r>
        <w:t xml:space="preserve">1. Name oder Firma und zusätzlich Anschrift des Herstellers,</w:t>
      </w:r>
    </w:p>
    <w:p>
      <w:pPr>
        <w:ind w:left="420"/>
      </w:pPr>
      <w:r>
        <w:t xml:space="preserve">2. Bezeichnung oder Identifizierungscode des Produkts, soweit möglich auch seines Reinheitsgrades; soweit zutreffend, Referenz zu einem Arzneibuch und - soweit vorhanden - internationale Kurzbezeichnung der Weltgesundheitsorganisation,</w:t>
      </w:r>
    </w:p>
    <w:p>
      <w:pPr>
        <w:ind w:left="420"/>
      </w:pPr>
      <w:r>
        <w:t xml:space="preserve">3. Inhalt nach Gewicht oder Nennvolumen; sind biologische Einheiten oder andere Angaben zur Wertigkeit wissenschaftlich gebräuchlich, so sind diese zu verwenden,</w:t>
      </w:r>
    </w:p>
    <w:p>
      <w:pPr>
        <w:ind w:left="420"/>
      </w:pPr>
      <w:r>
        <w:t xml:space="preserve">4. Chargenbezeichnung oder, soweit das Zwischenprodukt oder der Wirkstoff nicht in Chargen hergestellt wird, das Herstellungsdatum,</w:t>
      </w:r>
    </w:p>
    <w:p>
      <w:pPr>
        <w:ind w:left="420"/>
      </w:pPr>
      <w:r>
        <w:t xml:space="preserve">5. Verfalldatum oder Nachtestdatum,</w:t>
      </w:r>
    </w:p>
    <w:p>
      <w:pPr>
        <w:ind w:left="420"/>
      </w:pPr>
      <w:r>
        <w:t xml:space="preserve">6. besondere Transport- oder Lagerbedingungen, soweit für die Aufrechterhaltung der Qualität des Wirkstoffs oder Stoffs erforderlich,</w:t>
      </w:r>
    </w:p>
    <w:p>
      <w:pPr>
        <w:ind w:left="420"/>
      </w:pPr>
      <w:r>
        <w:t xml:space="preserve">7. bei gentechnologisch gewonnenen Wirkstoffen die Bezeichnung des bei der Herstellung verwendeten gentechnisch veränderten Mikroorganismus oder der Zelllinie und</w:t>
      </w:r>
    </w:p>
    <w:p>
      <w:pPr>
        <w:ind w:left="420"/>
      </w:pPr>
      <w:r>
        <w:t xml:space="preserve">8. bei Wirkstoffen mikrobieller Herkunft die Angabe, dass es sich um einen Wirkstoff mikrobieller Herkunft handelt und bei Wirkstoffen tierischer Herkunft die Bezeichnung der zur Herstellung verwendeten Tierspezies.</w:t>
      </w:r>
    </w:p>
    <w:p>
      <w:r>
        <w:t xml:space="preserve">(3) Sofern das Zwischenprodukt oder der Wirkstoff nachträglich von einem anderen Betrieb als dem Originalhersteller umgefüllt, umverpackt, umgekennzeichnet oder freigegeben wurde, ist zusätzlich der Name oder die Firma und die Anschrift dieses Betriebs sowie die neue Chargenbezeichnung auf dem Behältnis und, soweit verwendet, der äußeren Umhüllung des Zwischenprodukts oder des Wirkstoffs anzugeben. Die Angaben sind in deutscher Sprache zu machen, sofern das Zwischenprodukt oder der Wirkstoff im Geltungsbereich des Arzneimittelgesetzes in den Verkehr gebracht wird. Weitere Angaben sind zulässig, soweit sie den deutschen Angaben nicht widersprechen. Die Sätze 1 bis 3 finden keine Anwendung, sofern es sich um Tätigkeiten im Einzelfall handelt, die aufgrund einer nachweislichen Beschädigung des Originalbehältnisses oder seiner Verpackung erforderlich sind. Eine Tätigkeit im Sinne von Satz 4 gilt nicht als Herstellungsschritt. Der Vorgang ist zu dokumentieren und auf Verlangen der zuständigen Behörde vorzulegen.</w:t>
      </w:r>
    </w:p>
    <w:p>
      <w:r>
        <w:rPr>
          <w:color w:val="555555"/>
          <w:sz w:val="17"/>
        </w:rPr>
        <w:t xml:space="preserve">Zitiervorschlag: § 24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