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AMWHV — Begriffsbestimmungen</w:t>
      </w:r>
    </w:p>
    <w:p>
      <w:r>
        <w:rPr>
          <w:color w:val="555555"/>
          <w:sz w:val="18"/>
        </w:rPr>
        <w:t xml:space="preserve">Arzneimittel- und Wirkstoffherstellungsverordnung</w:t>
      </w:r>
    </w:p>
    <w:p>
      <w:r>
        <w:rPr>
          <w:color w:val="555555"/>
          <w:sz w:val="18"/>
        </w:rPr>
        <w:t xml:space="preserve">Stand: 27.01.2022 (konsolidierte Textfassung, kein amtliches Inkrafttretensdatum)</w:t>
      </w:r>
    </w:p>
    <w:p>
      <w:r>
        <w:t xml:space="preserve">Im Sinne dieser Verordnung</w:t>
      </w:r>
    </w:p>
    <w:p>
      <w:pPr>
        <w:ind w:left="420"/>
      </w:pPr>
      <w:r>
        <w:t xml:space="preserve">1. sind Produkte menschlicher Herkunft für die Arzneimittelherstellung bestimmte Wirkstoffe im Sinne von § 4 Abs. 19 des Arzneimittelgesetzes, die menschlicher Herkunft sind, oder Stoffe im Sinne von § 3 Nr. 3 des Arzneimittelgesetzes, die menschlicher Herkunft sind, in bearbeitetem oder unbearbeitetem Zustand, ausgenommen Blutprodukte im Sinne von § 2 Nr. 3 des Transfusionsgesetzes in der Fassung der Bekanntmachung vom 28. August 2007 (BGBl. I S. 2169) und andere Blutbestandteile,</w:t>
      </w:r>
    </w:p>
    <w:p>
      <w:pPr>
        <w:ind w:left="420"/>
      </w:pPr>
      <w:r>
        <w:t xml:space="preserve">2. ist Hilfsstoff jeder Bestandteil eines Arzneimittels, mit Ausnahme des Wirkstoffs oder des Verpackungsmaterials,</w:t>
      </w:r>
    </w:p>
    <w:p>
      <w:pPr>
        <w:ind w:left="420"/>
      </w:pPr>
      <w:r>
        <w:t xml:space="preserve">3. ist der EU-GMP-Leitfaden (BAnz. S. 6887) der Leitfaden für die Gute Herstellungspraxis für Arzneimittel und Prüfpräparate einschließlich seiner Anhänge, mit dem die Europäische Kommission die ausführlichen Leitlinien nach Artikel 47 der Richtlinie 2001/83/EG und nach Artikel 51 der Richtlinie 2001/82/EG veröffentlicht hat und der zur Auslegung der Grundsätze und Leitlinien der Guten Herstellungspraxis gemäß Artikel 3 Abs. 2 der Richtlinie 2003/94/EG der Kommission vom 8. Oktober 2003 zur Festlegung der Grundsätze und Leitlinien der Guten Herstellungspraxis für Humanarzneimittel und für zur Anwendung beim Menschen bestimmte Prüfpräparate (ABl. EU Nr. L 262 S. 22) und gemäß Artikel 3 der Richtlinie 91/412/EWG der Kommission vom 23. Juli 1991 zur Festlegung der Grundsätze und Leitlinien der Guten Herstellungspraxis für Tierarzneimittel (ABl. EG Nr. L 228 S. 70) dient; das Bundesministerium für Gesundheit macht die jeweils aktuelle Fassung des Leitfadens in deutscher Sprache im Bundesanzeiger bekannt,</w:t>
      </w:r>
    </w:p>
    <w:p>
      <w:pPr>
        <w:ind w:left="420"/>
      </w:pPr>
      <w:r>
        <w:t xml:space="preserve">4. ist Qualitätsmanagementsystem (QM-System) ein System, das die Qualitätssicherung, die Gute Herstellungspraxis oder die Gute fachliche Praxis einschließlich der Qualitätskontrolle und der periodischen Produktqualitätsüberprüfungen beinhaltet,</w:t>
      </w:r>
    </w:p>
    <w:p>
      <w:pPr>
        <w:ind w:left="420"/>
      </w:pPr>
      <w:r>
        <w:t xml:space="preserve">5. sind Spezifikationen Festlegungen und Anforderungen, denen Ausgangsstoffe oder Zwischenprodukte für die Arzneimittel- oder Wirkstoffherstellung, Wirkstoffe, Arzneimittel oder Gewebe entsprechen müssen; sie dienen als Grundlage der Qualitätsbewertung,</w:t>
      </w:r>
    </w:p>
    <w:p>
      <w:pPr>
        <w:ind w:left="420"/>
      </w:pPr>
      <w:r>
        <w:t xml:space="preserve">6. sind Inprozesskontrollen während der Herstellung vorgenommene Überprüfungen zur Überwachung und erforderlichenfalls Anpassung des Prozesses und zur Sicherstellung, dass das Produkt seiner Spezifikation entspricht,</w:t>
      </w:r>
    </w:p>
    <w:p>
      <w:pPr>
        <w:ind w:left="420"/>
      </w:pPr>
      <w:r>
        <w:t xml:space="preserve">7. sind Prüfpräparate Arzneimittel im Sinne von § 3 Abs. 3 der GCP-Verordnung vom 9. August 2004 (BGBl. I S. 2081), die durch Artikel 13 Absatz 4 des Vierten Gesetzes zur Änderung arzneimittelrechtlicher und anderer Vorschriften vom 20. Dezember 2016 (BGBl. I S. 3048) aufgehoben worden ist, in der am Tag vor ihrem Außerkrafttreten geltenden Fassung,</w:t>
      </w:r>
    </w:p>
    <w:p>
      <w:pPr>
        <w:ind w:left="420"/>
      </w:pPr>
      <w:r>
        <w:t xml:space="preserve">8. ist Leitung der Herstellung oder Leitung der Qualitätskontrolle der Leiter oder die Leiterin der Herstellung oder der Qualitätskontrolle im Sinne von § 14 Abs. 1 Nr. 2 des Arzneimittelgesetzes,</w:t>
      </w:r>
    </w:p>
    <w:p>
      <w:pPr>
        <w:ind w:left="420"/>
      </w:pPr>
      <w:r>
        <w:t xml:space="preserve">9. ist Blutspendeeinrichtung eine Einrichtung im Sinne von § 2 Nr. 2 des Transfusionsgesetzes, die Blut oder Blutbestandteile entnimmt, testet, verarbeitet, kennzeichnet, verpackt, freigibt, lagert, im Sinne von § 4 Abs. 17 des Arzneimittelgesetzes in den Verkehr bringt, einführt, ausführt oder in den oder aus dem Geltungsbereich des Arzneimittelgesetzes verbringt,</w:t>
      </w:r>
    </w:p>
    <w:p>
      <w:pPr>
        <w:ind w:left="420"/>
      </w:pPr>
      <w:r>
        <w:t xml:space="preserve">10. ist Gewebeeinrichtung eine Einrichtung, die die in § 20c Absatz 1, § 72b Absatz 1 oder § 72c Absatz 1 des Arzneimittelgesetzes aufgeführten Tätigkeiten ausübt oder die Gewebe oder Gewebezubereitungen aus Mitgliedstaaten der Europäischen Union oder anderer Vertragsstaaten des Abkommens über den Europäischen Wirtschaftsraum in den oder aus dem Geltungsbereich des Arzneimittelgesetzes verbringt oder ausführt; sofern die Gewebeeinrichtung auch Gewebe gewinnt, ist sie auch eine Entnahmeeinrichtung im Sinne von Nummer 11; sofern die Gewebeeinrichtung auch die für die Gewinnung erforderlichen Laboruntersuchungen durchführt, ist sie auch ein Gewebespenderlabor im Sinne von Nummer 13,</w:t>
      </w:r>
    </w:p>
    <w:p>
      <w:pPr>
        <w:ind w:left="420"/>
      </w:pPr>
      <w:r>
        <w:t xml:space="preserve">11. ist Entnahmeeinrichtung eine Einrichtung, die zur Verwendung bei Menschen bestimmte Gewebe im Sinne von § 1a Nr. 4 des Transplantationsgesetzes gewinnt, einschließlich aller Maßnahmen, die dazu bestimmt sind, das Gewebe in einem be- oder verarbeitungsfähigen Zustand zu erhalten, eindeutig zu identifizieren und zu transportieren,</w:t>
      </w:r>
    </w:p>
    <w:p>
      <w:pPr>
        <w:ind w:left="420"/>
      </w:pPr>
      <w:r>
        <w:t xml:space="preserve">12. ist spendende Person eine Person, der eine Spende im Sinne von § 2 Nr. 1 des Transfusionsgesetzes oder der eine Gewebespende entnommen wird</w:t>
      </w:r>
    </w:p>
    <w:p>
      <w:pPr>
        <w:ind w:left="420"/>
      </w:pPr>
      <w:r>
        <w:t xml:space="preserve">13. ist Gewebespenderlabor ein Labor, das die für die Gewebegewinnung erforderlichen Laboruntersuchungen durchführt,</w:t>
      </w:r>
    </w:p>
    <w:p>
      <w:pPr>
        <w:ind w:left="420"/>
      </w:pPr>
      <w:r>
        <w:t xml:space="preserve">14. sind Arbeitsplatzbeschreibungen schriftliche oder elektronische Festlegungen über die spezifischen Aufgaben, Zuständigkeiten und Verantwortlichkeiten, die den einzelnen Mitarbeitern oder Mitarbeiterinnen eines Betriebs oder einer Einrichtung von ihren jeweiligen Leitungen zugewiesen wurden,</w:t>
      </w:r>
    </w:p>
    <w:p>
      <w:pPr>
        <w:ind w:left="420"/>
      </w:pPr>
      <w:r>
        <w:t xml:space="preserve">15. ist Standardarbeitsanweisung (SOP) eine schriftliche oder elektronische Anweisung zur Beschreibung der einzelnen Schritte wiederkehrender Arbeitsgänge (Standardarbeitsverfahren), einschließlich der zu verwendenden Materialien und Methoden,</w:t>
      </w:r>
    </w:p>
    <w:p>
      <w:pPr>
        <w:ind w:left="420"/>
      </w:pPr>
      <w:r>
        <w:t xml:space="preserve">16. ist Validierung das Erbringen eines dokumentierten Nachweises, der mit hoher Sicherheit belegt, dass durch einen spezifischen Prozess oder ein Standardarbeitsverfahren ein Produkt hergestellt wird, das den vorher festgelegten Spezifikationen und Qualitätsmerkmalen entspricht,</w:t>
      </w:r>
    </w:p>
    <w:p>
      <w:pPr>
        <w:ind w:left="420"/>
      </w:pPr>
      <w:r>
        <w:t xml:space="preserve">17. ist Qualifizierung das Erbringen eines dokumentierten Nachweises, der mit hoher Sicherheit belegt, dass ein spezifischer Ausrüstungsgegenstand oder eine spezifische Umgebungsbedingung für die Herstellung eines Produktes, das den vorher festgelegten Spezifikationen und Qualitätsmerkmalen entspricht, geeignet ist,</w:t>
      </w:r>
    </w:p>
    <w:p>
      <w:pPr>
        <w:ind w:left="420"/>
      </w:pPr>
      <w:r>
        <w:t xml:space="preserve">18. sind kritische Herstellungs- oder Prüfverfahren Verfahren, die einen signifikanten Einfluss auf die Qualität oder Sicherheit der Produkte haben können, und kritische Zusatzstoffe Materialien, die einen solchen Einfluss haben können,</w:t>
      </w:r>
    </w:p>
    <w:p>
      <w:pPr>
        <w:ind w:left="420"/>
      </w:pPr>
      <w:r>
        <w:t xml:space="preserve">19. sind kritische Ausrüstungsgegenstände oder Geräte solche, die mit den Produkten in Berührung kommen oder einen anderen Einfluss auf die Qualität oder Sicherheit der Produkte haben können.</w:t>
      </w:r>
    </w:p>
    <w:p>
      <w:pPr>
        <w:ind w:left="420"/>
      </w:pPr>
      <w:r>
        <w:t xml:space="preserve">20. ist Spendenkennungssequenz der erste Teil des Einheitlichen Europäischen Codes, bestehend aus dem EU-Gewebeeinrichtungs-Code und der eindeutigen Spendennummer,</w:t>
      </w:r>
    </w:p>
    <w:p>
      <w:pPr>
        <w:ind w:left="420"/>
      </w:pPr>
      <w:r>
        <w:t xml:space="preserve">21. ist eindeutige Spendennummer die eindeutige Nummer gemäß Anhang VII der Richtlinie 2006/86/EG der Kommission vom 24. Oktober 2006 zur Umsetzung der Richtlinie 2004/23/EG des Europäischen Parlaments und des Rates hinsichtlich der Anforderungen an die Rückverfolgbarkeit, der Meldung schwerwiegender Zwischenfälle und unerwünschter Reaktionen sowie bestimmter technischer Anforderungen an die Kodierung, Verarbeitung, Konservierung, Lagerung und Verteilung von menschlichen Geweben und Zellen (ABl. L 294 vom 25.10.2006, S. 32), die zuletzt durch die Richtlinie (EU) 2015/565 (ABl. L 93 vom 9.4.2015, S. 43) geändert worden ist, die einer bestimmten Gewebespende nach dem von der Entnahme- oder Gewebeeinrichtung festzulegenden Zuteilungssystem zugewiesen wird,</w:t>
      </w:r>
    </w:p>
    <w:p>
      <w:pPr>
        <w:ind w:left="420"/>
      </w:pPr>
      <w:r>
        <w:t xml:space="preserve">22. ist Produktkennungssequenz der zweite Teil des Einheitlichen Europäischen Codes, bestehend aus dem Produktcode, der Splitnummer und dem Verfallsdatum,</w:t>
      </w:r>
    </w:p>
    <w:p>
      <w:pPr>
        <w:ind w:left="420"/>
      </w:pPr>
      <w:r>
        <w:t xml:space="preserve">23. ist Produktcode die Kennung der spezifischen Art der Gewebe oder Gewebezubereitung im EU-Kompendium der Gewebe- und Zellprodukte gemäß § 4 Absatz 30d des Arzneimittelgesetzes; der Produktcode besteht aus</w:t>
      </w:r>
    </w:p>
    <w:p>
      <w:pPr>
        <w:ind w:left="780"/>
      </w:pPr>
      <w:r>
        <w:t xml:space="preserve">a) der Kennung des Systems für die Produktkodierung, das die Einrichtung verwendet („E“ für EUTC, „A“ für ISBT128, „B“ für Eurocode), und</w:t>
      </w:r>
    </w:p>
    <w:p>
      <w:pPr>
        <w:ind w:left="780"/>
      </w:pPr>
      <w:r>
        <w:t xml:space="preserve">b) der Produktnummer für Gewebe oder Gewebezubereitungen im betreffenden Produktkodierungssystem für das Gewebe oder die Gewebezubereitungsart,</w:t>
      </w:r>
    </w:p>
    <w:p>
      <w:pPr>
        <w:ind w:left="420"/>
      </w:pPr>
      <w:r>
        <w:t xml:space="preserve">24. ist Splitnummer die Nummer gemäß Anhang VII der Richtlinie 2006/86/EG, die der Unterscheidung und eindeutigen Kennzeichnung von Geweben oder Gewebezubereitungen dient, die mit derselben eindeutigen Spendennummer und demselben Produktcode gekennzeichnet sind und aus derselben Einrichtung stammen,</w:t>
      </w:r>
    </w:p>
    <w:p>
      <w:pPr>
        <w:ind w:left="420"/>
      </w:pPr>
      <w:r>
        <w:t xml:space="preserve">25. ist Verfallsdatum das Datum gemäß Anhang VII der Richtlinie 2006/86/EG, bis zu dem die Gewebe oder Gewebezubereitungen verwendet werden können,</w:t>
      </w:r>
    </w:p>
    <w:p>
      <w:pPr>
        <w:ind w:left="420"/>
      </w:pPr>
      <w:r>
        <w:t xml:space="preserve">26. ist EUTC das von der Europäischen Union entwickelte Produktkodierungssystem für Gewebe und Gewebezubereitungen, das aus einem Register aller in der Europäischen Union im Verkehr befindlichen Gewebe, Gewebezubereitungen und Gewebezubereitungsarten mit den jeweiligen Produktcodes besteht.</w:t>
      </w:r>
    </w:p>
    <w:p>
      <w:r>
        <w:rPr>
          <w:color w:val="555555"/>
          <w:sz w:val="17"/>
        </w:rPr>
        <w:t xml:space="preserve">Zitiervorschlag: § 2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