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AMWHV — Inverkehrbringen und Einfuhr</w:t>
      </w:r>
    </w:p>
    <w:p>
      <w:r>
        <w:rPr>
          <w:color w:val="555555"/>
          <w:sz w:val="18"/>
        </w:rPr>
        <w:t xml:space="preserve">Arzneimittel- und Wirkstoffherstellungsverordnung</w:t>
      </w:r>
    </w:p>
    <w:p>
      <w:r>
        <w:rPr>
          <w:color w:val="555555"/>
          <w:sz w:val="18"/>
        </w:rPr>
        <w:t xml:space="preserve">Stand: 10.06.2019 (konsolidierte Textfassung, kein amtliches Inkrafttretensdatum)</w:t>
      </w:r>
    </w:p>
    <w:p>
      <w:r>
        <w:t xml:space="preserve">(1) Arzneimittel, Blutprodukte und andere Blutbestandteile sowie Produkte menschlicher Herkunft, die im Geltungsbereich des Arzneimittelgesetzes hergestellt und geprüft wurden, dürfen nur in den Verkehr gebracht werden, wenn sie gemäß § 16 freigegeben wurden. Soweit die Arzneimittel, Blutprodukte und anderen Blutbestandteile sowie Produkte menschlicher Herkunft in den Geltungsbereich des Arzneimittelgesetzes verbracht oder eingeführt wurden, darf die Freigabe nach § 16 zum Inverkehrbringen nur erfolgen, wenn die Herstellung in einem Betrieb durchgeführt wurde, der dafür nach dem jeweiligen nationalen Recht befugt ist, und die Prüfung nach § 14 im Geltungsbereich des Arzneimittelgesetzes durchgeführt wurde. Die Prüfung soll neben der vollständigen qualitativen und quantitativen Analyse, insbesondere der Wirkstoffe, auch alle sonstigen Überprüfungen erfassen, die erforderlich sind, um die jeweilige Produktqualität zu gewährleisten. Satz 2 gilt nicht für Prüfpräparate.</w:t>
      </w:r>
    </w:p>
    <w:p>
      <w:r>
        <w:t xml:space="preserve">(2) Bei einem Verbringen aus einem Mitgliedstaat der Europäischen Union oder einem anderen Vertragsstaat des Abkommens über den Europäischen Wirtschaftsraum in den Geltungsbereich des Arzneimittelgesetzes kann von der Prüfung nach Absatz 1 abgesehen werden, wenn die Prüfung in dem Mitgliedstaat oder in dem anderen Vertragsstaat nach den dort geltenden Rechtsvorschriften durchgeführt und die von der sachkundigen Person unterzeichneten Kontrollberichte beigefügt wurden.</w:t>
      </w:r>
    </w:p>
    <w:p>
      <w:r>
        <w:t xml:space="preserve">(3) Bei einer Einfuhr aus Staaten, die nicht Mitgliedstaaten der Europäischen Union oder andere Vertragsstaaten des Abkommens über den Europäischen Wirtschaftsraum sind, kann von der Prüfung nach Absatz 1 abgesehen werden, wenn die Voraussetzungen nach § 72a Absatz 1 Satz 1 Nummer 1 des Arzneimittelgesetzes, bei Blutprodukten, die keine Arzneimittel sind und bei Produkten menschlicher Herkunft auch nach § 72a Absatz 1 Satz 1 Nummer 2 des Arzneimittelgesetzes erfüllt sind oder die Prüfung schon in einem anderen Mitgliedstaat der Europäischen Union durchgeführt wurde und entsprechende Kontrollberichte übermittelt wurden.</w:t>
      </w:r>
    </w:p>
    <w:p>
      <w:r>
        <w:t xml:space="preserve">(4) Sofern Prüfpräparate, die in einem Land hergestellt wurden, das nicht Mitgliedstaat der Europäischen Union oder anderer Vertragsstaat des Abkommens über den Europäischen Wirtschaftsraum ist und für die eine Genehmigung für das Inverkehrbringen im Herkunftsland vorliegt, in einer klinischen Prüfung als Vergleichspräparate eingesetzt werden sollen, trägt die sachkundige Person nach § 14 des Arzneimittelgesetzes die Verantwortung dafür, dass jede Herstellungscharge allen erforderlichen Prüfungen unterzogen wurde, um die Qualität der Präparate gemäß den Genehmigungsunterlagen für die klinische Prüfung, in der sie zur Anwendung kommen, zu bestätigen. Satz 1 gilt auch dann, wenn der sachkundigen Person nach § 14 des Arzneimittelgesetzes keine Unterlagen erhältlich sind, die bestätigen, dass jede Produktionscharge nach Standards hergestellt wurde, die den von der Europäischen Union festgelegten Standards der Guten Herstellungspraxis mindestens gleichwertig sind.</w:t>
      </w:r>
    </w:p>
    <w:p>
      <w:r>
        <w:t xml:space="preserve">(5) Die sachkundige Person nach § 14 des Arzneimittelgesetzes hat gemäß § 19 Satz 2 des Arzneimittelgesetzes in einem fortlaufenden Register oder einem hierfür vorgesehenen vergleichbaren Dokument für jede Arzneimittelcharge die Einhaltung der Vorschriften des Arzneimittelgesetzes und der vorliegenden Verordnung zu bescheinigen, bevor die Charge in den Verkehr gebracht wird. Sofern anschließend Chargen zurückgerufen werden, ist dies in dem Register oder einem vergleichbaren Dokument zu vermerken.</w:t>
      </w:r>
    </w:p>
    <w:p>
      <w:r>
        <w:t xml:space="preserve">(6) Soweit durch Rechtsvorschrift nichts anderes zugelassen ist, dürfen Fertigarzneimittel nur an Betriebe und Einrichtungen geliefert werden, die über eine Erlaubnis nach § 13, § 52a, § 72 oder § 72c Absatz 4 des Arzneimittelgesetzes verfügen oder zur Abgabe an den Endverbraucher befugt sind oder an andere Einrichtungen oder Personen, die gemäß § 47 des Arzneimittelgesetzes Arzneimittel beziehen dürfen. Satz 1 gilt entsprechend für Betriebe, die im Besitz einer Erlaubnis nach Artikel 40 oder einer Genehmigung nach Artikel 77 der Richtlinie 2001/83/EG oder einer Erlaubnis nach Artikel 44 oder einer Genehmigung nach Artikel 65 der Richtlinie 2001/82/EG sind. Den Lieferungen sind ausreichende Unterlagen beizufügen, aus denen insbesondere das Datum der Auslieferung, die Bezeichnung und Menge des Arzneimittels sowie Name und Anschrift des Lieferanten und des Empfängers hervorgehen. Im Falle der Lieferung an Betriebe und Einrichtungen, die entsprechend Satz 1 oder Satz 2 über eine Erlaubnis oder eine Genehmigung verfügen, muss zusätzlich die Chargenbezeichnung des jeweiligen Arzneimittels angegeben werden. Darüber hinaus muss unter Angabe der ausstellenden Behörde und des Ausstellungsdatums bestätigt werden, dass der Lieferant über eine Erlaubnis nach § 13, § 52a, § 72 oder § 72c Absatz 4 des Arzneimittelgesetzes verfügt. Die Verpflichtung zur zusätzlichen Angabe der Chargenbezeichnung gilt auch</w:t>
      </w:r>
    </w:p>
    <w:p>
      <w:pPr>
        <w:ind w:left="420"/>
      </w:pPr>
      <w:r>
        <w:t xml:space="preserve">1. bei der Abgabe von Arzneimitteln an Krankenhausapotheken und krankenhausversorgende Apotheken für die Zwecke der Belieferung von Krankenhäusern,</w:t>
      </w:r>
    </w:p>
    <w:p>
      <w:pPr>
        <w:ind w:left="420"/>
      </w:pPr>
      <w:r>
        <w:t xml:space="preserve">2. im Falle von Blutzubereitungen, Sera aus menschlichem Blut und Zubereitungen aus anderen Stoffen menschlicher Herkunft sowie gentechnisch hergestellten Blutbestandteilen, die fehlende Blutbestandteile ersetzen, auch bei Lieferung an Betriebe und Einrichtungen zur Abgabe an den Endverbraucher,</w:t>
      </w:r>
    </w:p>
    <w:p>
      <w:pPr>
        <w:ind w:left="420"/>
      </w:pPr>
      <w:r>
        <w:t xml:space="preserve">3. bei Abgabe von zur Anwendung bei Tieren bestimmten verschreibungspflichtigen Arzneimitteln sowie</w:t>
      </w:r>
    </w:p>
    <w:p>
      <w:pPr>
        <w:ind w:left="420"/>
      </w:pPr>
      <w:r>
        <w:t xml:space="preserve">4. im Falle von Arzneimitteln, die Sicherheitsmerkmale im Sinne von § 10 Absatz 1c des Arzneimittelgesetzes tragen müssen.</w:t>
      </w:r>
    </w:p>
    <w:p>
      <w:r>
        <w:t xml:space="preserve">Die nach den Sätzen 3 bis 6 beizufügenden Unterlagen und erforderlichen Angaben können dem Empfänger auch elektronisch übermittelt werden. Bei einer elektronischen Übermittlung hat der Absender sicherzustellen, dass die elektronischen Unterlagen und Angaben für die jeweiligen Empfänger jederzeit abrufbar sind und dass sie in hinreichender Weise vor Manipulationen geschützt sind.</w:t>
      </w:r>
    </w:p>
    <w:p>
      <w:r>
        <w:rPr>
          <w:color w:val="555555"/>
          <w:sz w:val="17"/>
        </w:rPr>
        <w:t xml:space="preserve">Zitiervorschlag: § 17 AMWHV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https://recht.nulegal.eu/gesetze/AMWHV/17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