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AMWHV — Selbstinspektionen und Lieferantenqualifizierung</w:t>
      </w:r>
    </w:p>
    <w:p>
      <w:r>
        <w:rPr>
          <w:color w:val="555555"/>
          <w:sz w:val="18"/>
        </w:rPr>
        <w:t xml:space="preserve">Arzneimittel- und Wirkstoffherstellungsverordnung</w:t>
      </w:r>
    </w:p>
    <w:p>
      <w:r>
        <w:rPr>
          <w:color w:val="555555"/>
          <w:sz w:val="18"/>
        </w:rPr>
        <w:t xml:space="preserve">Stand: 10.06.2019 (konsolidierte Textfassung, kein amtliches Inkrafttretensdatum)</w:t>
      </w:r>
    </w:p>
    <w:p>
      <w:r>
        <w:t xml:space="preserve">(1) Um die Beachtung der Vorschriften dieser Verordnung sicherzustellen, müssen regelmäßig Selbstinspektionen nach einem im Voraus festgelegten Programm durchgeführt werden. Über die Selbstinspektionen und die anschließend ergriffenen Korrekturmaßnahmen müssen Aufzeichnungen geführt und aufbewahrt werden.</w:t>
      </w:r>
    </w:p>
    <w:p>
      <w:r>
        <w:t xml:space="preserve">(2) Die Qualifizierung von Lieferanten für Ausgangsstoffe und primäre und sekundäre Verpackungsmaterialien, die zur Arzneimittelherstellung eingesetzt werden, ist im Rahmen des QM-Systems des verarbeitenden Betriebs nach schriftlich oder elektronisch festgelegtem Verfahren durchzuführen.</w:t>
      </w:r>
    </w:p>
    <w:p>
      <w:r>
        <w:t xml:space="preserve">(3) Das Verfahren nach Absatz 2 muss, soweit es sich um Wirkstoffe zur Arzneimittelherstellung handelt, zur Feststellung der ordnungsgemäßen Herstellung</w:t>
      </w:r>
    </w:p>
    <w:p>
      <w:pPr>
        <w:ind w:left="420"/>
      </w:pPr>
      <w:r>
        <w:t xml:space="preserve">1. die Durchführung von Überprüfungen des Herstellers vor Ort (Audits) durch hierzu ausreichend geschultes Personal des Arzneimittelherstellers vorsehen; anstelle eigener Audits kann der Arzneimittelhersteller auf geeignete Kenntnisse Dritter zurückgreifen, sofern die Anforderungen für die Durchführung der Audits denen des eigenen QM-Systems entsprechen, und</w:t>
      </w:r>
    </w:p>
    <w:p>
      <w:pPr>
        <w:ind w:left="420"/>
      </w:pPr>
      <w:r>
        <w:t xml:space="preserve">2. die Überprüfungen beinhalten, dass der Hersteller des Wirkstoffs zur Herstellung von Arzneimitteln zur Anwendung bei Menschen, sofern dieser seinen Sitz in einem Land, das Mitgliedstaat der Europäischen Union oder anderer Vertragsstaat des Abkommens über den Europäischen Wirtschaftsraum ist, bei der zuständigen Behörde registriert ist.</w:t>
      </w:r>
    </w:p>
    <w:p>
      <w:r>
        <w:t xml:space="preserve">Satz 1 Nummer 1 und 2 gilt auch für Importeure und Vertreiber, soweit es sich um Wirkstoffe zur Herstellung von Arzneimitteln, die zur Anwendung am Menschen bestimmt sind, handelt.</w:t>
      </w:r>
    </w:p>
    <w:p>
      <w:r>
        <w:t xml:space="preserve">(4) Zur Sicherstellung der Geeignetheit der Hilfsstoffe für die Herstellung von Arzneimitteln, die zur Anwendung beim Menschen bestimmt sind, muss das Verfahren nach Absatz 2 eine formalisierte Risikobewertung durch den Arzneimittelhersteller vorsehen. Die Risikobewertung muss insbesondere die Nachprüfung der Einhaltung der Regelungen einer angemessenen guten Herstellungspraxis bei der Herstellung der Hilfsstoffe, deren Herkunft und die beabsichtigte Verwendung sowie etwaige Kenntnisse über Vorkommnisse der Vergangenheit beinhalten.</w:t>
      </w:r>
    </w:p>
    <w:p>
      <w:r>
        <w:t xml:space="preserve">(5) Die Spezifikationen der Arzneimittel und Wirkstoffe sollen die betriebsintern akzeptierten Hersteller und Lieferanten wiedergeben.</w:t>
      </w:r>
    </w:p>
    <w:p>
      <w:r>
        <w:t xml:space="preserve">(6) Die Absätze 2, 3 Nummer 1 und Absatz 5 gelten für andere kritische Ausgangsmaterialien für die Wirkstoffherstellung entsprechend.</w:t>
      </w:r>
    </w:p>
    <w:p>
      <w:r>
        <w:rPr>
          <w:color w:val="555555"/>
          <w:sz w:val="17"/>
        </w:rPr>
        <w:t xml:space="preserve">Zitiervorschlag: § 11 AMWHV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https://recht.nulegal.eu/gesetze/AMWHV/11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