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AMWHV — Anwendungsbereich</w:t>
      </w:r>
    </w:p>
    <w:p>
      <w:r>
        <w:rPr>
          <w:color w:val="555555"/>
          <w:sz w:val="18"/>
        </w:rPr>
        <w:t xml:space="preserve">Arzneimittel- und Wirkstoffherstellungsverordnung</w:t>
      </w:r>
    </w:p>
    <w:p>
      <w:r>
        <w:rPr>
          <w:color w:val="555555"/>
          <w:sz w:val="18"/>
        </w:rPr>
        <w:t xml:space="preserve">Stand: 27.01.2022 (konsolidierte Textfassung, kein amtliches Inkrafttretensdatum)</w:t>
      </w:r>
    </w:p>
    <w:p>
      <w:r>
        <w:t xml:space="preserve">(1) Diese Verordnung findet Anwendung auf Betriebe und Einrichtungen, die</w:t>
      </w:r>
    </w:p>
    <w:p>
      <w:pPr>
        <w:ind w:left="420"/>
      </w:pPr>
      <w:r>
        <w:t xml:space="preserve">1. Arzneimittel,</w:t>
      </w:r>
    </w:p>
    <w:p>
      <w:pPr>
        <w:ind w:left="420"/>
      </w:pPr>
      <w:r>
        <w:t xml:space="preserve">2. Wirkstoffe, die zur Herstellung von Arzneimitteln bestimmt sind und die menschlicher oder tierischer oder mikrobieller Herkunft sind oder die auf gentechnischem Wege hergestellt werden,</w:t>
      </w:r>
    </w:p>
    <w:p>
      <w:pPr>
        <w:ind w:left="420"/>
      </w:pPr>
      <w:r>
        <w:t xml:space="preserve">2a. Gewebe im Sinne von § 1a Nr. 4 des Transplantationsgesetzes in der Fassung der Bekanntmachung vom 4. September 2007 (BGBl. I S. 2206),</w:t>
      </w:r>
    </w:p>
    <w:p>
      <w:pPr>
        <w:ind w:left="420"/>
      </w:pPr>
      <w:r>
        <w:t xml:space="preserve">3. zur Arzneimittelherstellung bestimmte Stoffe menschlicher Herkunft,</w:t>
      </w:r>
    </w:p>
    <w:p>
      <w:pPr>
        <w:ind w:left="420"/>
      </w:pPr>
      <w:r>
        <w:t xml:space="preserve">4. andere als die in Nummer 2 genannten Wirkstoffe, die zur Herstellung von Arzneimitteln bestimmt sind, oder</w:t>
      </w:r>
    </w:p>
    <w:p>
      <w:pPr>
        <w:ind w:left="420"/>
      </w:pPr>
      <w:r>
        <w:t xml:space="preserve">5. andere als die in Nummer 3 genannten und zur Herstellung von Arzneimitteln zur Anwendung bei Menschen bestimmte Stoffe, soweit sie die nach den Regelungen einer angemessenen guten Herstellungspraxis entsprechend den Leitlinien der Europäischen Kommission nach Artikel 47 Absatz 5 der Richtlinie 2001/83/EG des Europäischen Parlaments und des Rates vom 6. November 2001 zur Schaffung eines Gemeinschaftskodexes für Humanarzneimittel (ABl. L 311 vom 28.11.2001, S. 67), die zuletzt durch die Richtlinie 2011/62/EU (ABl. L 174 vom 1.7.2011, S. 74) geändert worden ist, herzustellen sind (Hilfsstoffe),</w:t>
      </w:r>
    </w:p>
    <w:p>
      <w:r>
        <w:t xml:space="preserve">gewerbsmäßig herstellen, prüfen, lagern, in den Verkehr bringen, in den oder aus dem Geltungsbereich des Arzneimittelgesetzes verbringen, einführen oder ausführen. Sie findet auch Anwendung auf Personen, die diese Tätigkeiten berufsmäßig ausüben.</w:t>
      </w:r>
    </w:p>
    <w:p>
      <w:r>
        <w:t xml:space="preserve">(1a) Auf Entnahme- und Gewebeeinrichtungen sowie Gewebespenderlabore findet Abschnitt 3 dieser Verordnung keine Anwendung.</w:t>
      </w:r>
    </w:p>
    <w:p>
      <w:r>
        <w:t xml:space="preserve">(2) Die Verordnung ist auch anzuwenden auf</w:t>
      </w:r>
    </w:p>
    <w:p>
      <w:pPr>
        <w:ind w:left="420"/>
      </w:pPr>
      <w:r>
        <w:t xml:space="preserve">1. Apotheken, den Einzelhandel mit Arzneimitteln außerhalb von Apotheken, Personen, die Ärzte sind oder sonst zur Ausübung der Heilkunde bei Menschen befugt sind, Zahnärzte, Tierärzte, tierärztliche Hausapotheken und Arzneimittelgroßhandelsbetriebe, soweit sie einer Erlaubnis nach den §§ 13, 20b, 20c, 72 Absatz 1 oder Absatz 4 Satz 2, § 72b Absatz 1 Satz 3, § 72c Absatz 1 Satz 2 oder Absatz 4 Satz 1 des Arzneimittelgesetzes bedürfen, und</w:t>
      </w:r>
    </w:p>
    <w:p>
      <w:pPr>
        <w:ind w:left="420"/>
      </w:pPr>
      <w:r>
        <w:t xml:space="preserve">2. pharmazeutische Unternehmer nach § 4 Abs. 18 des Arzneimittelgesetzes,</w:t>
      </w:r>
    </w:p>
    <w:p>
      <w:pPr>
        <w:ind w:left="420"/>
      </w:pPr>
      <w:r>
        <w:t xml:space="preserve">3. Betriebe und Einrichtungen oder Personen, die mit Wirkstoffen zur Herstellung von Arzneimitteln, die zur Anwendung beim Menschen bestimmt sind, handeln.</w:t>
      </w:r>
    </w:p>
    <w:p>
      <w:r>
        <w:t xml:space="preserve">(3) Die Anforderungen dieser Verordnung gelten nicht für</w:t>
      </w:r>
    </w:p>
    <w:p>
      <w:pPr>
        <w:ind w:left="420"/>
      </w:pPr>
      <w:r>
        <w:t xml:space="preserve">1. Stoffe gemäß Homöopathischem Arzneibuch, die zur Herstellung von Homöopathischen Zubereitungen als Ausgangsstoffe eingesetzt werden,</w:t>
      </w:r>
    </w:p>
    <w:p>
      <w:pPr>
        <w:ind w:left="420"/>
      </w:pPr>
      <w:r>
        <w:t xml:space="preserve">2. Wirkstoffe, die Stoffe im Sinne des § 3 Nummer 1, 2 oder 3 des Arzneimittelgesetzes sind oder enthalten, soweit sie nicht den Anforderungen des EU-GMP-Leitfadens unterliegen,</w:t>
      </w:r>
    </w:p>
    <w:p>
      <w:pPr>
        <w:ind w:left="420"/>
      </w:pPr>
      <w:r>
        <w:t xml:space="preserve">3. (weggefallen)</w:t>
      </w:r>
    </w:p>
    <w:p>
      <w:pPr>
        <w:ind w:left="420"/>
      </w:pPr>
      <w:r>
        <w:t xml:space="preserve">4. (weggefallen)</w:t>
      </w:r>
    </w:p>
    <w:p>
      <w:pPr>
        <w:ind w:left="420"/>
      </w:pPr>
      <w:r>
        <w:t xml:space="preserve">5. (weggefallen)</w:t>
      </w:r>
    </w:p>
    <w:p>
      <w:pPr>
        <w:ind w:left="420"/>
      </w:pPr>
      <w:r>
        <w:t xml:space="preserve">6. Wirkstoffe für Ektoparasitika zur Anwendung an Tieren sowie</w:t>
      </w:r>
    </w:p>
    <w:p>
      <w:pPr>
        <w:ind w:left="420"/>
      </w:pPr>
      <w:r>
        <w:t xml:space="preserve">7. Wirkstoffe für Arzneimittel, die ausschließlich zur Anwendung bei Heimtieren nach § 60 des Arzneimittelgesetzes bestimmt sind und für den Verkehr außerhalb der Apotheken zugelassen sind.</w:t>
      </w:r>
    </w:p>
    <w:p>
      <w:r>
        <w:t xml:space="preserve">Im Falle des Satzes 1 ist durch die Einhaltung vergleichbarer Standards und Verfahren sicherzustellen, dass die Qualität der Herstellung und Prüfung gleichwertig zu den in den Abschnitten 2 bis 4 festgelegten Anforderungen ist.</w:t>
      </w:r>
    </w:p>
    <w:p>
      <w:r>
        <w:t xml:space="preserve">(4) Die Verordnung findet keine Anwendung auf Betriebe und Einrichtungen, die einer Erlaubnis nach § 72 Abs. 2 des Arzneimittelgesetzes bedürfen. Die Verordnung gilt nicht für Personen und Einrichtungen, die Arzneimittel sammeln.</w:t>
      </w:r>
    </w:p>
    <w:p>
      <w:r>
        <w:t xml:space="preserve">(5) Diese Verordnung findet keine Anwendung auf Wirkstoffe, Hilfsstoffe und Zwischenprodukte, die ausschließlich zum Zwecke des Verbringens in Länder, die nicht Mitgliedstaaten der Europäischen Union oder andere Vertragsstaaten des Abkommens über den Europäischen Wirtschaftsraum sind, bestimmt sind und unter zollamtlicher Überwachung und ohne Herstellungsschritte im Sinne des Artikels 46a Abs. 1 der Richtlinie 2001/83/EG oder des Artikels 50a Abs. 1 der Richtlinie 2001/82/EG des Europäischen Parlaments und des Rates vom 6. November 2001 zur Schaffung eines Gemeinschaftskodexes für Tierarzneimittel (ABl. EG Nr. L 311 S. 1), geändert durch die Richtlinie 2004/28/EG des Europäischen Parlaments und des Rates vom 31. März 2004 (ABl. EU Nr. L 136 S. 58), durch den Geltungsbereich der Verordnung befördert werden oder in ein Zolllagerverfahren oder eine Freizone des Kontrolltyps I oder II übergeführt werden (Transit).</w:t>
      </w:r>
    </w:p>
    <w:p>
      <w:r>
        <w:t xml:space="preserve">(6) Die Vorschriften der Durchführungsverordnung (EU) Nr. 520/2012 der Kommission vom 19. Juni 2012 über die Durchführung der in der Verordnung (EG) Nr. 726/2004 des Europäischen Parlaments und des Rates und der Richtlinie 2001/83/EG des Europäischen Parlaments und des Rates vorgesehenen Pharmakovigilanz-Aktivitäten (ABl. L 159 vom 20.6.2012, S. 5) bleiben unberührt.</w:t>
      </w:r>
    </w:p>
    <w:p>
      <w:r>
        <w:t xml:space="preserve">(7) Diese Verordnung findet keine Anwendung auf Arzneimittel zur klinischen Prüfung bei Menschen und auf Hilfspräparate, die dem Anwendungsbereich der Verordnung (EU) Nr. 536/2014 des Europäischen Parlaments und des Rates vom 16. April 2014 über klinische Prüfungen mit Humanarzneimitteln und zur Aufhebung der Richtlinie 2001/20/EG (ABl. L 158 vom 27.5.2014, S. 1) unterliegen, soweit nicht in einzelnen Bestimmungen dieser Verordnung ausdrücklich auf die Verordnung (EU) Nr. 536/2014 Bezug genommen wird.</w:t>
      </w:r>
    </w:p>
    <w:p>
      <w:r>
        <w:rPr>
          <w:color w:val="555555"/>
          <w:sz w:val="17"/>
        </w:rPr>
        <w:t xml:space="preserve">Zitiervorschlag: § 1 AMWHV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https://recht.nulegal.eu/gesetze/AMWHV/1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