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2c AMVerkRV — (zu § 2 Abs. 1 Nr. 3)</w:t>
      </w:r>
    </w:p>
    <w:p>
      <w:r>
        <w:rPr>
          <w:color w:val="555555"/>
          <w:sz w:val="18"/>
        </w:rPr>
        <w:t xml:space="preserve">Verordnung über apothekenpflichtige und freiverkäufliche Arzneimittel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rPr>
          <w:rFonts w:ascii="Courier New" w:hAnsi="Courier New"/>
          <w:sz w:val="17"/>
        </w:rPr>
        <w:t xml:space="preserve">2-Aminoethanol</w:t>
      </w:r>
    </w:p>
    <w:p>
      <w:r>
        <w:rPr>
          <w:rFonts w:ascii="Courier New" w:hAnsi="Courier New"/>
          <w:sz w:val="17"/>
        </w:rPr>
        <w:t xml:space="preserve">Benzalkoniumchlorid</w:t>
      </w:r>
    </w:p>
    <w:p>
      <w:r>
        <w:rPr>
          <w:rFonts w:ascii="Courier New" w:hAnsi="Courier New"/>
          <w:sz w:val="17"/>
        </w:rPr>
        <w:t xml:space="preserve">Benzocain</w:t>
      </w:r>
    </w:p>
    <w:p>
      <w:r>
        <w:rPr>
          <w:rFonts w:ascii="Courier New" w:hAnsi="Courier New"/>
          <w:sz w:val="17"/>
        </w:rPr>
        <w:t xml:space="preserve">Benzylbenzoat</w:t>
      </w:r>
    </w:p>
    <w:p>
      <w:r>
        <w:rPr>
          <w:rFonts w:ascii="Courier New" w:hAnsi="Courier New"/>
          <w:sz w:val="17"/>
        </w:rPr>
        <w:t xml:space="preserve">2,4-Dihydroxybenzoesäure</w:t>
      </w:r>
    </w:p>
    <w:p>
      <w:r>
        <w:rPr>
          <w:rFonts w:ascii="Courier New" w:hAnsi="Courier New"/>
          <w:sz w:val="17"/>
        </w:rPr>
        <w:t xml:space="preserve">2,6-Dihydroxybenzoesäure</w:t>
      </w:r>
    </w:p>
    <w:p>
      <w:r>
        <w:rPr>
          <w:rFonts w:ascii="Courier New" w:hAnsi="Courier New"/>
          <w:sz w:val="17"/>
        </w:rPr>
        <w:t xml:space="preserve">3,5-Dihydroxybenzoesäure</w:t>
      </w:r>
    </w:p>
    <w:p>
      <w:r>
        <w:rPr>
          <w:rFonts w:ascii="Courier New" w:hAnsi="Courier New"/>
          <w:sz w:val="17"/>
        </w:rPr>
        <w:t xml:space="preserve">alpha-Dodecyl-omega-hydroxypoly(oxyethylen)</w:t>
      </w:r>
    </w:p>
    <w:p>
      <w:r>
        <w:rPr>
          <w:rFonts w:ascii="Courier New" w:hAnsi="Courier New"/>
          <w:sz w:val="17"/>
        </w:rPr>
        <w:t xml:space="preserve">Essigsäure</w:t>
      </w:r>
    </w:p>
    <w:p>
      <w:r>
        <w:rPr>
          <w:rFonts w:ascii="Courier New" w:hAnsi="Courier New"/>
          <w:sz w:val="17"/>
        </w:rPr>
        <w:t xml:space="preserve">Lärchenterpentin</w:t>
      </w:r>
    </w:p>
    <w:p>
      <w:r>
        <w:rPr>
          <w:rFonts w:ascii="Courier New" w:hAnsi="Courier New"/>
          <w:sz w:val="17"/>
        </w:rPr>
        <w:t xml:space="preserve">Menthol</w:t>
      </w:r>
    </w:p>
    <w:p>
      <w:r>
        <w:rPr>
          <w:rFonts w:ascii="Courier New" w:hAnsi="Courier New"/>
          <w:sz w:val="17"/>
        </w:rPr>
        <w:t xml:space="preserve">Milchsäure bis 10%ig</w:t>
      </w:r>
    </w:p>
    <w:p>
      <w:r>
        <w:rPr>
          <w:rFonts w:ascii="Courier New" w:hAnsi="Courier New"/>
          <w:sz w:val="17"/>
        </w:rPr>
        <w:t xml:space="preserve">Salicylsäure bis 40%ig</w:t>
      </w:r>
    </w:p>
    <w:p>
      <w:r>
        <w:rPr>
          <w:color w:val="555555"/>
          <w:sz w:val="17"/>
        </w:rPr>
        <w:t xml:space="preserve">Zitiervorschlag: Anlage 2c AMVerkRV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https://recht.nulegal.eu/gesetze/AMVerkRV/anlage-2c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