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2b AMVerkRV — (zu § 2 Abs. 1 Nr. 2)</w:t>
      </w:r>
    </w:p>
    <w:p>
      <w:r>
        <w:rPr>
          <w:color w:val="555555"/>
          <w:sz w:val="18"/>
        </w:rPr>
        <w:t xml:space="preserve">Verordnung über apothekenpflichtige und freiverkäufliche Arzneimittel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Fundstelle des Originaltextes: BGBl. I 1988, 2161</w:t>
      </w:r>
    </w:p>
    <w:p>
      <w:r>
        <w:rPr>
          <w:rFonts w:ascii="Courier New" w:hAnsi="Courier New"/>
          <w:sz w:val="17"/>
        </w:rPr>
        <w:t xml:space="preserve">Agar</w:t>
      </w:r>
    </w:p>
    <w:p>
      <w:r>
        <w:rPr>
          <w:rFonts w:ascii="Courier New" w:hAnsi="Courier New"/>
          <w:sz w:val="17"/>
        </w:rPr>
        <w:t xml:space="preserve">Feigen und deren Zubereitungen</w:t>
      </w:r>
    </w:p>
    <w:p>
      <w:r>
        <w:rPr>
          <w:rFonts w:ascii="Courier New" w:hAnsi="Courier New"/>
          <w:sz w:val="17"/>
        </w:rPr>
        <w:t xml:space="preserve">Fenchel</w:t>
      </w:r>
    </w:p>
    <w:p>
      <w:r>
        <w:rPr>
          <w:rFonts w:ascii="Courier New" w:hAnsi="Courier New"/>
          <w:sz w:val="17"/>
        </w:rPr>
        <w:t xml:space="preserve">Kümmel</w:t>
      </w:r>
    </w:p>
    <w:p>
      <w:r>
        <w:rPr>
          <w:rFonts w:ascii="Courier New" w:hAnsi="Courier New"/>
          <w:sz w:val="17"/>
        </w:rPr>
        <w:t xml:space="preserve">Lactose</w:t>
      </w:r>
    </w:p>
    <w:p>
      <w:r>
        <w:rPr>
          <w:rFonts w:ascii="Courier New" w:hAnsi="Courier New"/>
          <w:sz w:val="17"/>
        </w:rPr>
        <w:t xml:space="preserve">Leinsamen und deren Zubereitungen</w:t>
      </w:r>
    </w:p>
    <w:p>
      <w:r>
        <w:rPr>
          <w:rFonts w:ascii="Courier New" w:hAnsi="Courier New"/>
          <w:sz w:val="17"/>
        </w:rPr>
        <w:t xml:space="preserve">Manna</w:t>
      </w:r>
    </w:p>
    <w:p>
      <w:r>
        <w:rPr>
          <w:rFonts w:ascii="Courier New" w:hAnsi="Courier New"/>
          <w:sz w:val="17"/>
        </w:rPr>
        <w:t xml:space="preserve">Paraffin, dick- und dünnflüssiges, bis zu einem Gehalt von 10% in nichtflüssigen Zubereitungen</w:t>
      </w:r>
    </w:p>
    <w:p>
      <w:r>
        <w:rPr>
          <w:rFonts w:ascii="Courier New" w:hAnsi="Courier New"/>
          <w:sz w:val="17"/>
        </w:rPr>
        <w:t xml:space="preserve">Pflaumen und deren Zubereitungen</w:t>
      </w:r>
    </w:p>
    <w:p>
      <w:r>
        <w:rPr>
          <w:rFonts w:ascii="Courier New" w:hAnsi="Courier New"/>
          <w:sz w:val="17"/>
        </w:rPr>
        <w:t xml:space="preserve">Rizinusöl, auch raffiniertes</w:t>
      </w:r>
    </w:p>
    <w:p>
      <w:r>
        <w:rPr>
          <w:rFonts w:ascii="Courier New" w:hAnsi="Courier New"/>
          <w:sz w:val="17"/>
        </w:rPr>
        <w:t xml:space="preserve">Tamarindenfrüchte und deren Zubereitungen</w:t>
      </w:r>
    </w:p>
    <w:p>
      <w:r>
        <w:rPr>
          <w:rFonts w:ascii="Courier New" w:hAnsi="Courier New"/>
          <w:sz w:val="17"/>
        </w:rPr>
        <w:t xml:space="preserve">Tragant</w:t>
      </w:r>
    </w:p>
    <w:p>
      <w:r>
        <w:rPr>
          <w:rFonts w:ascii="Courier New" w:hAnsi="Courier New"/>
          <w:sz w:val="17"/>
        </w:rPr>
        <w:t xml:space="preserve">Weizenkleie</w:t>
      </w:r>
    </w:p>
    <w:p>
      <w:r>
        <w:rPr>
          <w:color w:val="555555"/>
          <w:sz w:val="17"/>
        </w:rPr>
        <w:t xml:space="preserve">Zitiervorschlag: Anlage 2b AMVerkRV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https://recht.nulegal.eu/gesetze/AMVerkRV/anlage-2b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