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2a AMVerkRV — (zu § 2 Abs. 1 Nr. 1)</w:t>
      </w:r>
    </w:p>
    <w:p>
      <w:r>
        <w:rPr>
          <w:color w:val="555555"/>
          <w:sz w:val="18"/>
        </w:rPr>
        <w:t xml:space="preserve">Verordnung über apothekenpflichtige und freiverkäufliche Arzneimittel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1988, 2161; bzgl. der einzelnen Änderungen vgl. Fußnote</w:t>
      </w:r>
    </w:p>
    <w:p>
      <w:r>
        <w:rPr>
          <w:rFonts w:ascii="Courier New" w:hAnsi="Courier New"/>
          <w:sz w:val="17"/>
        </w:rPr>
        <w:t xml:space="preserve">Ätherische Öle, soweit sie in der Anlage 1a genannt sind</w:t>
      </w:r>
    </w:p>
    <w:p>
      <w:r>
        <w:rPr>
          <w:rFonts w:ascii="Courier New" w:hAnsi="Courier New"/>
          <w:sz w:val="17"/>
        </w:rPr>
        <w:t xml:space="preserve">Ammoniumchlorid</w:t>
      </w:r>
    </w:p>
    <w:p>
      <w:r>
        <w:rPr>
          <w:rFonts w:ascii="Courier New" w:hAnsi="Courier New"/>
          <w:sz w:val="17"/>
        </w:rPr>
        <w:t xml:space="preserve">Anethol Ascorbinsäure bis zu einer Einzeldosis von 20 mg und deren Calcium-, Kalium- und Natriumsalze</w:t>
      </w:r>
    </w:p>
    <w:p>
      <w:r>
        <w:rPr>
          <w:rFonts w:ascii="Courier New" w:hAnsi="Courier New"/>
          <w:sz w:val="17"/>
        </w:rPr>
        <w:t xml:space="preserve">Benzylalkohol</w:t>
      </w:r>
    </w:p>
    <w:p>
      <w:r>
        <w:rPr>
          <w:rFonts w:ascii="Courier New" w:hAnsi="Courier New"/>
          <w:sz w:val="17"/>
        </w:rPr>
        <w:t xml:space="preserve">Campher</w:t>
      </w:r>
    </w:p>
    <w:p>
      <w:r>
        <w:rPr>
          <w:rFonts w:ascii="Courier New" w:hAnsi="Courier New"/>
          <w:sz w:val="17"/>
        </w:rPr>
        <w:t xml:space="preserve">Cetylpyridiniumchlorid</w:t>
      </w:r>
    </w:p>
    <w:p>
      <w:r>
        <w:rPr>
          <w:rFonts w:ascii="Courier New" w:hAnsi="Courier New"/>
          <w:sz w:val="17"/>
        </w:rPr>
        <w:t xml:space="preserve">Cineol (Eucalyptol)</w:t>
      </w:r>
    </w:p>
    <w:p>
      <w:r>
        <w:rPr>
          <w:rFonts w:ascii="Courier New" w:hAnsi="Courier New"/>
          <w:sz w:val="17"/>
        </w:rPr>
        <w:t xml:space="preserve">Citronensäure</w:t>
      </w:r>
    </w:p>
    <w:p>
      <w:r>
        <w:rPr>
          <w:rFonts w:ascii="Courier New" w:hAnsi="Courier New"/>
          <w:sz w:val="17"/>
        </w:rPr>
        <w:t xml:space="preserve">alpha-Dodecyl-omega-hydroxypoly(oxyethylen) (Oxypolyäthoxydodecan) bis zu einer Einzeldosis von 5 mg</w:t>
      </w:r>
    </w:p>
    <w:p>
      <w:r>
        <w:rPr>
          <w:rFonts w:ascii="Courier New" w:hAnsi="Courier New"/>
          <w:sz w:val="17"/>
        </w:rPr>
        <w:t xml:space="preserve">Extrakte von Pflanzen und Pflanzenteilen, auch deren Mischungen, soweit sie nicht aus den in der Anlage 1b bezeichneten Pflanzen oder deren Teilen gewonnen sind</w:t>
      </w:r>
    </w:p>
    <w:p>
      <w:r>
        <w:rPr>
          <w:rFonts w:ascii="Courier New" w:hAnsi="Courier New"/>
          <w:sz w:val="17"/>
        </w:rPr>
        <w:t xml:space="preserve">Fenchelhonig</w:t>
      </w:r>
    </w:p>
    <w:p>
      <w:r>
        <w:rPr>
          <w:rFonts w:ascii="Courier New" w:hAnsi="Courier New"/>
          <w:sz w:val="17"/>
        </w:rPr>
        <w:t xml:space="preserve">Menglytat (Äthylglykolsäurementhylester)</w:t>
      </w:r>
    </w:p>
    <w:p>
      <w:r>
        <w:rPr>
          <w:rFonts w:ascii="Courier New" w:hAnsi="Courier New"/>
          <w:sz w:val="17"/>
        </w:rPr>
        <w:t xml:space="preserve">Menthol</w:t>
      </w:r>
    </w:p>
    <w:p>
      <w:r>
        <w:rPr>
          <w:rFonts w:ascii="Courier New" w:hAnsi="Courier New"/>
          <w:sz w:val="17"/>
        </w:rPr>
        <w:t xml:space="preserve">Rosenhonig</w:t>
      </w:r>
    </w:p>
    <w:p>
      <w:r>
        <w:rPr>
          <w:rFonts w:ascii="Courier New" w:hAnsi="Courier New"/>
          <w:sz w:val="17"/>
        </w:rPr>
        <w:t xml:space="preserve">Salze natürlicher Mineral-, Heil- und Meerwässer und die ihnen entsprechenden künstlichen Salze</w:t>
      </w:r>
    </w:p>
    <w:p>
      <w:r>
        <w:rPr>
          <w:rFonts w:ascii="Courier New" w:hAnsi="Courier New"/>
          <w:sz w:val="17"/>
        </w:rPr>
        <w:t xml:space="preserve">Süßholzsaft</w:t>
      </w:r>
    </w:p>
    <w:p>
      <w:r>
        <w:rPr>
          <w:rFonts w:ascii="Courier New" w:hAnsi="Courier New"/>
          <w:sz w:val="17"/>
        </w:rPr>
        <w:t xml:space="preserve">Thymol</w:t>
      </w:r>
    </w:p>
    <w:p>
      <w:r>
        <w:rPr>
          <w:rFonts w:ascii="Courier New" w:hAnsi="Courier New"/>
          <w:sz w:val="17"/>
        </w:rPr>
        <w:t xml:space="preserve">Tolubalsam</w:t>
      </w:r>
    </w:p>
    <w:p>
      <w:r>
        <w:rPr>
          <w:rFonts w:ascii="Courier New" w:hAnsi="Courier New"/>
          <w:sz w:val="17"/>
        </w:rPr>
        <w:t xml:space="preserve">Weinsäure</w:t>
      </w:r>
    </w:p>
    <w:p>
      <w:r>
        <w:rPr>
          <w:color w:val="555555"/>
          <w:sz w:val="17"/>
        </w:rPr>
        <w:t xml:space="preserve">Zitiervorschlag: Anlage 2a AMVerkRV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https://recht.nulegal.eu/gesetze/AMVerkRV/anlage-2a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