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AMVerkRV</w:t>
      </w:r>
    </w:p>
    <w:p>
      <w:r>
        <w:rPr>
          <w:color w:val="555555"/>
          <w:sz w:val="18"/>
        </w:rPr>
        <w:t xml:space="preserve">Verordnung über apothekenpflichtige und freiverkäufliche Arzneimittel</w:t>
      </w:r>
    </w:p>
    <w:p>
      <w:r>
        <w:rPr>
          <w:color w:val="555555"/>
          <w:sz w:val="18"/>
        </w:rPr>
        <w:t xml:space="preserve">Stand: 10.06.2019 (konsolidierte Textfassung, kein amtliches Inkrafttretensdatum)</w:t>
      </w:r>
    </w:p>
    <w:p>
      <w:r>
        <w:t xml:space="preserve">Die in § 44 des Arzneimittelgesetzes genannten Arzneimittel sind ferner vom Verkehr außerhalb der Apotheken ausgeschlossen, wenn sie chemische Verbindungen sind, denen nach den Erkenntnissen der medizinischen Wissenschaft eine antibiotische, blutgerinnungsverzögernde, histaminwidrige, hormonartige, parasympathicomimetische (cholinergische) oder parasympathicolytische, sympathicomimetische (adrenergische) oder sympathicolytische Wirkung auf den menschlichen oder tierischen Körper zukommt. Das gleiche gilt, wenn ihnen solche chemischen Verbindungen zugesetzt sind.</w:t>
      </w:r>
    </w:p>
    <w:p>
      <w:r>
        <w:rPr>
          <w:color w:val="555555"/>
          <w:sz w:val="17"/>
        </w:rPr>
        <w:t xml:space="preserve">Zitiervorschlag: § 9 AMVerkRV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https://recht.nulegal.eu/gesetze/AMVerkRV/9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